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0B6B" w14:textId="525519D1" w:rsidR="0080720B" w:rsidRPr="008E5399" w:rsidRDefault="0080720B" w:rsidP="006D47C6">
      <w:pPr>
        <w:pStyle w:val="NoSpacing"/>
        <w:spacing w:after="1920"/>
        <w:rPr>
          <w:rFonts w:ascii="DM Sans" w:hAnsi="DM Sans"/>
        </w:rPr>
      </w:pPr>
    </w:p>
    <w:sdt>
      <w:sdtPr>
        <w:rPr>
          <w:rFonts w:ascii="DM Sans" w:hAnsi="DM Sans"/>
        </w:rPr>
        <w:id w:val="2122492527"/>
        <w:docPartObj>
          <w:docPartGallery w:val="Cover Pages"/>
          <w:docPartUnique/>
        </w:docPartObj>
      </w:sdtPr>
      <w:sdtEndPr/>
      <w:sdtContent>
        <w:p w14:paraId="5F46D4E0" w14:textId="1EA68B91" w:rsidR="0089506E" w:rsidRPr="008E5399" w:rsidRDefault="0089506E" w:rsidP="006D47C6">
          <w:pPr>
            <w:pStyle w:val="NoSpacing"/>
            <w:spacing w:after="1920"/>
            <w:rPr>
              <w:rFonts w:ascii="DM Sans" w:hAnsi="DM Sans"/>
            </w:rPr>
          </w:pPr>
          <w:r w:rsidRPr="008E5399">
            <w:rPr>
              <w:rFonts w:ascii="DM Sans" w:hAnsi="DM Sans"/>
              <w:noProof/>
            </w:rPr>
            <w:drawing>
              <wp:anchor distT="0" distB="0" distL="114300" distR="114300" simplePos="0" relativeHeight="251658242" behindDoc="1" locked="1" layoutInCell="1" allowOverlap="1" wp14:anchorId="23EEA2EA" wp14:editId="55369C5B">
                <wp:simplePos x="0" y="0"/>
                <wp:positionH relativeFrom="page">
                  <wp:posOffset>723900</wp:posOffset>
                </wp:positionH>
                <wp:positionV relativeFrom="page">
                  <wp:posOffset>723900</wp:posOffset>
                </wp:positionV>
                <wp:extent cx="2160000" cy="464400"/>
                <wp:effectExtent l="0" t="0" r="0" b="0"/>
                <wp:wrapTight wrapText="bothSides">
                  <wp:wrapPolygon edited="0">
                    <wp:start x="0" y="0"/>
                    <wp:lineTo x="0" y="20389"/>
                    <wp:lineTo x="14480" y="20389"/>
                    <wp:lineTo x="13909" y="14183"/>
                    <wp:lineTo x="21340" y="9751"/>
                    <wp:lineTo x="21340" y="0"/>
                    <wp:lineTo x="0" y="0"/>
                  </wp:wrapPolygon>
                </wp:wrapTight>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ilanthropy Australia"/>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0" cy="464400"/>
                        </a:xfrm>
                        <a:prstGeom prst="rect">
                          <a:avLst/>
                        </a:prstGeom>
                      </pic:spPr>
                    </pic:pic>
                  </a:graphicData>
                </a:graphic>
                <wp14:sizeRelH relativeFrom="margin">
                  <wp14:pctWidth>0</wp14:pctWidth>
                </wp14:sizeRelH>
                <wp14:sizeRelV relativeFrom="margin">
                  <wp14:pctHeight>0</wp14:pctHeight>
                </wp14:sizeRelV>
              </wp:anchor>
            </w:drawing>
          </w:r>
          <w:r w:rsidRPr="008E5399">
            <w:rPr>
              <w:rFonts w:ascii="DM Sans" w:hAnsi="DM Sans"/>
              <w:noProof/>
            </w:rPr>
            <w:drawing>
              <wp:anchor distT="0" distB="0" distL="114300" distR="114300" simplePos="0" relativeHeight="251658241" behindDoc="1" locked="1" layoutInCell="1" allowOverlap="1" wp14:anchorId="55B3BF45" wp14:editId="6BBD8CDC">
                <wp:simplePos x="2105025" y="142875"/>
                <wp:positionH relativeFrom="page">
                  <wp:align>left</wp:align>
                </wp:positionH>
                <wp:positionV relativeFrom="page">
                  <wp:align>top</wp:align>
                </wp:positionV>
                <wp:extent cx="7562215" cy="10695305"/>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2837" cy="10695600"/>
                        </a:xfrm>
                        <a:prstGeom prst="rect">
                          <a:avLst/>
                        </a:prstGeom>
                      </pic:spPr>
                    </pic:pic>
                  </a:graphicData>
                </a:graphic>
                <wp14:sizeRelH relativeFrom="margin">
                  <wp14:pctWidth>0</wp14:pctWidth>
                </wp14:sizeRelH>
                <wp14:sizeRelV relativeFrom="margin">
                  <wp14:pctHeight>0</wp14:pctHeight>
                </wp14:sizeRelV>
              </wp:anchor>
            </w:drawing>
          </w:r>
          <w:r w:rsidRPr="008E5399">
            <w:rPr>
              <w:rFonts w:ascii="DM Sans" w:hAnsi="DM Sans"/>
              <w:noProof/>
            </w:rPr>
            <mc:AlternateContent>
              <mc:Choice Requires="wps">
                <w:drawing>
                  <wp:anchor distT="0" distB="0" distL="114300" distR="114300" simplePos="0" relativeHeight="251658243" behindDoc="0" locked="1" layoutInCell="1" allowOverlap="1" wp14:anchorId="61D1C91C" wp14:editId="481D144F">
                    <wp:simplePos x="0" y="0"/>
                    <wp:positionH relativeFrom="page">
                      <wp:align>right</wp:align>
                    </wp:positionH>
                    <wp:positionV relativeFrom="page">
                      <wp:align>bottom</wp:align>
                    </wp:positionV>
                    <wp:extent cx="2700000" cy="1044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00000" cy="1044000"/>
                            </a:xfrm>
                            <a:prstGeom prst="rect">
                              <a:avLst/>
                            </a:prstGeom>
                            <a:noFill/>
                            <a:ln w="6350">
                              <a:noFill/>
                            </a:ln>
                          </wps:spPr>
                          <wps:txbx>
                            <w:txbxContent>
                              <w:p w14:paraId="18439B23" w14:textId="2B03128D" w:rsidR="0089506E" w:rsidRPr="006D47C6" w:rsidRDefault="005806F6" w:rsidP="00146441">
                                <w:pPr>
                                  <w:pStyle w:val="WebAddressWhite"/>
                                </w:pPr>
                                <w:r>
                                  <w:fldChar w:fldCharType="begin"/>
                                </w:r>
                                <w:r>
                                  <w:instrText>HYPERLINK "http://www.philanthropy.org.au"</w:instrText>
                                </w:r>
                                <w:r>
                                  <w:fldChar w:fldCharType="separate"/>
                                </w:r>
                                <w:r w:rsidR="0089506E" w:rsidRPr="006D47C6">
                                  <w:t>philanthropy.org.au</w:t>
                                </w:r>
                                <w:r>
                                  <w:fldChar w:fldCharType="end"/>
                                </w:r>
                              </w:p>
                            </w:txbxContent>
                          </wps:txbx>
                          <wps:bodyPr rot="0" spcFirstLastPara="0" vertOverflow="overflow" horzOverflow="overflow" vert="horz" wrap="square" lIns="36000" tIns="36000" rIns="828000" bIns="66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1C91C" id="_x0000_t202" coordsize="21600,21600" o:spt="202" path="m,l,21600r21600,l21600,xe">
                    <v:stroke joinstyle="miter"/>
                    <v:path gradientshapeok="t" o:connecttype="rect"/>
                  </v:shapetype>
                  <v:shape id="Text Box 13" o:spid="_x0000_s1026" type="#_x0000_t202" style="position:absolute;margin-left:161.4pt;margin-top:0;width:212.6pt;height:82.2pt;z-index:25165824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" filled="f" stroked="f" strokeweight=".5pt">
                    <v:textbox inset="1mm,1mm,23mm,18.5mm">
                      <w:txbxContent>
                        <w:p w14:paraId="18439B23" w14:textId="2B03128D" w:rsidR="0089506E" w:rsidRPr="006D47C6" w:rsidRDefault="005806F6" w:rsidP="00146441">
                          <w:pPr>
                            <w:pStyle w:val="WebAddressWhite"/>
                          </w:pPr>
                          <w:r>
                            <w:fldChar w:fldCharType="begin"/>
                          </w:r>
                          <w:r>
                            <w:instrText>HYPERLINK "http://www.philanthropy.org.au"</w:instrText>
                          </w:r>
                          <w:r>
                            <w:fldChar w:fldCharType="separate"/>
                          </w:r>
                          <w:r w:rsidR="0089506E" w:rsidRPr="006D47C6">
                            <w:t>philanthropy.org.au</w:t>
                          </w:r>
                          <w:r>
                            <w:fldChar w:fldCharType="end"/>
                          </w:r>
                        </w:p>
                      </w:txbxContent>
                    </v:textbox>
                    <w10:wrap anchorx="page" anchory="page"/>
                    <w10:anchorlock/>
                  </v:shape>
                </w:pict>
              </mc:Fallback>
            </mc:AlternateContent>
          </w:r>
        </w:p>
        <w:p w14:paraId="3B616F11" w14:textId="77777777" w:rsidR="0089506E" w:rsidRPr="008E5399" w:rsidRDefault="0089506E" w:rsidP="006D47C6">
          <w:pPr>
            <w:rPr>
              <w:rFonts w:ascii="DM Sans" w:hAnsi="DM Sans"/>
            </w:rPr>
          </w:pPr>
          <w:r w:rsidRPr="008E5399">
            <w:rPr>
              <w:rFonts w:ascii="DM Sans" w:hAnsi="DM Sans"/>
              <w:noProof/>
            </w:rPr>
            <mc:AlternateContent>
              <mc:Choice Requires="wps">
                <w:drawing>
                  <wp:inline distT="0" distB="0" distL="0" distR="0" wp14:anchorId="1EA0EC13" wp14:editId="6DFDF647">
                    <wp:extent cx="6464300" cy="3276000"/>
                    <wp:effectExtent l="0" t="0" r="12700" b="635"/>
                    <wp:docPr id="14" name="Text Box 14"/>
                    <wp:cNvGraphicFramePr/>
                    <a:graphic xmlns:a="http://schemas.openxmlformats.org/drawingml/2006/main">
                      <a:graphicData uri="http://schemas.microsoft.com/office/word/2010/wordprocessingShape">
                        <wps:wsp>
                          <wps:cNvSpPr txBox="1"/>
                          <wps:spPr>
                            <a:xfrm>
                              <a:off x="0" y="0"/>
                              <a:ext cx="6464300" cy="32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3398C" w14:textId="2C557544" w:rsidR="0089506E" w:rsidRPr="00E35046" w:rsidRDefault="00C939B1" w:rsidP="00E35046">
                                <w:pPr>
                                  <w:pStyle w:val="TitleWhite"/>
                                  <w:spacing w:after="0" w:line="240" w:lineRule="auto"/>
                                  <w:rPr>
                                    <w:sz w:val="56"/>
                                    <w:szCs w:val="56"/>
                                  </w:rPr>
                                </w:pPr>
                                <w:sdt>
                                  <w:sdtPr>
                                    <w:rPr>
                                      <w:sz w:val="56"/>
                                      <w:szCs w:val="56"/>
                                    </w:rPr>
                                    <w:alias w:val="Title"/>
                                    <w:tag w:val=""/>
                                    <w:id w:val="2042167328"/>
                                    <w:dataBinding w:prefixMappings="xmlns:ns0='http://purl.org/dc/elements/1.1/' xmlns:ns1='http://schemas.openxmlformats.org/package/2006/metadata/core-properties' " w:xpath="/ns1:coreProperties[1]/ns0:title[1]" w:storeItemID="{6C3C8BC8-F283-45AE-878A-BAB7291924A1}"/>
                                    <w:text w:multiLine="1"/>
                                  </w:sdtPr>
                                  <w:sdtEndPr/>
                                  <w:sdtContent>
                                    <w:r w:rsidR="00400714">
                                      <w:rPr>
                                        <w:sz w:val="56"/>
                                        <w:szCs w:val="56"/>
                                      </w:rPr>
                                      <w:t>Philanthropy Australia Submission to the Charity Blueprint process</w:t>
                                    </w:r>
                                  </w:sdtContent>
                                </w:sdt>
                              </w:p>
                              <w:sdt>
                                <w:sdtPr>
                                  <w:rPr>
                                    <w:color w:val="FF0000"/>
                                  </w:rPr>
                                  <w:alias w:val="Subtitle"/>
                                  <w:tag w:val=""/>
                                  <w:id w:val="255414968"/>
                                  <w:placeholder>
                                    <w:docPart w:val="7D763003C494460F849F8F90C7AB4507"/>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34E393AA" w14:textId="726C970F" w:rsidR="0089506E" w:rsidRPr="00A52717" w:rsidRDefault="006E0746" w:rsidP="00146441">
                                    <w:pPr>
                                      <w:pStyle w:val="SubtitleWhite"/>
                                      <w:rPr>
                                        <w:color w:val="FF0000"/>
                                      </w:rPr>
                                    </w:pPr>
                                    <w:r>
                                      <w:rPr>
                                        <w:color w:val="FF0000"/>
                                      </w:rPr>
                                      <w:t>FINAL</w:t>
                                    </w:r>
                                  </w:p>
                                </w:sdtContent>
                              </w:sdt>
                              <w:sdt>
                                <w:sdtPr>
                                  <w:alias w:val="Publish Date"/>
                                  <w:tag w:val=""/>
                                  <w:id w:val="-1333298172"/>
                                  <w:placeholder>
                                    <w:docPart w:val="DDD75EEBFC4149079A1D0E6450E0EC0F"/>
                                  </w:placeholder>
                                  <w:dataBinding w:prefixMappings="xmlns:ns0='http://schemas.microsoft.com/office/2006/coverPageProps' " w:xpath="/ns0:CoverPageProperties[1]/ns0:PublishDate[1]" w:storeItemID="{55AF091B-3C7A-41E3-B477-F2FDAA23CFDA}"/>
                                  <w:date w:fullDate="2023-12-19T00:00:00Z">
                                    <w:dateFormat w:val="d/MM/yyyy"/>
                                    <w:lid w:val="en-AU"/>
                                    <w:storeMappedDataAs w:val="dateTime"/>
                                    <w:calendar w:val="gregorian"/>
                                  </w:date>
                                </w:sdtPr>
                                <w:sdtEndPr/>
                                <w:sdtContent>
                                  <w:p w14:paraId="19A4B880" w14:textId="0007A20C" w:rsidR="0089506E" w:rsidRPr="006D47C6" w:rsidRDefault="00FF053C" w:rsidP="00146441">
                                    <w:pPr>
                                      <w:pStyle w:val="DateWhite"/>
                                    </w:pPr>
                                    <w:r>
                                      <w:t>19</w:t>
                                    </w:r>
                                    <w:r w:rsidR="00A63AB2">
                                      <w:t>/1</w:t>
                                    </w:r>
                                    <w:r>
                                      <w:t>2</w:t>
                                    </w:r>
                                    <w:r w:rsidR="004A46D7">
                                      <w:t>/2023</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1EA0EC13" id="Text Box 14" o:spid="_x0000_s1027" type="#_x0000_t202" style="width:509pt;height:25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" filled="f" stroked="f" strokeweight=".5pt">
                    <v:textbox inset="0,0,0,0">
                      <w:txbxContent>
                        <w:p w14:paraId="74A3398C" w14:textId="2C557544" w:rsidR="0089506E" w:rsidRPr="00E35046" w:rsidRDefault="00C939B1" w:rsidP="00E35046">
                          <w:pPr>
                            <w:pStyle w:val="TitleWhite"/>
                            <w:spacing w:after="0" w:line="240" w:lineRule="auto"/>
                            <w:rPr>
                              <w:sz w:val="56"/>
                              <w:szCs w:val="56"/>
                            </w:rPr>
                          </w:pPr>
                          <w:sdt>
                            <w:sdtPr>
                              <w:rPr>
                                <w:sz w:val="56"/>
                                <w:szCs w:val="56"/>
                              </w:rPr>
                              <w:alias w:val="Title"/>
                              <w:tag w:val=""/>
                              <w:id w:val="2042167328"/>
                              <w:dataBinding w:prefixMappings="xmlns:ns0='http://purl.org/dc/elements/1.1/' xmlns:ns1='http://schemas.openxmlformats.org/package/2006/metadata/core-properties' " w:xpath="/ns1:coreProperties[1]/ns0:title[1]" w:storeItemID="{6C3C8BC8-F283-45AE-878A-BAB7291924A1}"/>
                              <w:text w:multiLine="1"/>
                            </w:sdtPr>
                            <w:sdtEndPr/>
                            <w:sdtContent>
                              <w:r w:rsidR="00400714">
                                <w:rPr>
                                  <w:sz w:val="56"/>
                                  <w:szCs w:val="56"/>
                                </w:rPr>
                                <w:t>Philanthropy Australia Submission to the Charity Blueprint process</w:t>
                              </w:r>
                            </w:sdtContent>
                          </w:sdt>
                        </w:p>
                        <w:sdt>
                          <w:sdtPr>
                            <w:rPr>
                              <w:color w:val="FF0000"/>
                            </w:rPr>
                            <w:alias w:val="Subtitle"/>
                            <w:tag w:val=""/>
                            <w:id w:val="255414968"/>
                            <w:placeholder>
                              <w:docPart w:val="7D763003C494460F849F8F90C7AB4507"/>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34E393AA" w14:textId="726C970F" w:rsidR="0089506E" w:rsidRPr="00A52717" w:rsidRDefault="006E0746" w:rsidP="00146441">
                              <w:pPr>
                                <w:pStyle w:val="SubtitleWhite"/>
                                <w:rPr>
                                  <w:color w:val="FF0000"/>
                                </w:rPr>
                              </w:pPr>
                              <w:r>
                                <w:rPr>
                                  <w:color w:val="FF0000"/>
                                </w:rPr>
                                <w:t>FINAL</w:t>
                              </w:r>
                            </w:p>
                          </w:sdtContent>
                        </w:sdt>
                        <w:sdt>
                          <w:sdtPr>
                            <w:alias w:val="Publish Date"/>
                            <w:tag w:val=""/>
                            <w:id w:val="-1333298172"/>
                            <w:placeholder>
                              <w:docPart w:val="DDD75EEBFC4149079A1D0E6450E0EC0F"/>
                            </w:placeholder>
                            <w:dataBinding w:prefixMappings="xmlns:ns0='http://schemas.microsoft.com/office/2006/coverPageProps' " w:xpath="/ns0:CoverPageProperties[1]/ns0:PublishDate[1]" w:storeItemID="{55AF091B-3C7A-41E3-B477-F2FDAA23CFDA}"/>
                            <w:date w:fullDate="2023-12-19T00:00:00Z">
                              <w:dateFormat w:val="d/MM/yyyy"/>
                              <w:lid w:val="en-AU"/>
                              <w:storeMappedDataAs w:val="dateTime"/>
                              <w:calendar w:val="gregorian"/>
                            </w:date>
                          </w:sdtPr>
                          <w:sdtEndPr/>
                          <w:sdtContent>
                            <w:p w14:paraId="19A4B880" w14:textId="0007A20C" w:rsidR="0089506E" w:rsidRPr="006D47C6" w:rsidRDefault="00FF053C" w:rsidP="00146441">
                              <w:pPr>
                                <w:pStyle w:val="DateWhite"/>
                              </w:pPr>
                              <w:r>
                                <w:t>19</w:t>
                              </w:r>
                              <w:r w:rsidR="00A63AB2">
                                <w:t>/1</w:t>
                              </w:r>
                              <w:r>
                                <w:t>2</w:t>
                              </w:r>
                              <w:r w:rsidR="004A46D7">
                                <w:t>/2023</w:t>
                              </w:r>
                            </w:p>
                          </w:sdtContent>
                        </w:sdt>
                      </w:txbxContent>
                    </v:textbox>
                    <w10:anchorlock/>
                  </v:shape>
                </w:pict>
              </mc:Fallback>
            </mc:AlternateContent>
          </w:r>
        </w:p>
        <w:p w14:paraId="63F7B422" w14:textId="380E20FA" w:rsidR="0057409A" w:rsidRPr="008E5399" w:rsidRDefault="00C939B1">
          <w:pPr>
            <w:rPr>
              <w:rFonts w:ascii="DM Sans" w:hAnsi="DM Sans"/>
            </w:rPr>
            <w:sectPr w:rsidR="0057409A" w:rsidRPr="008E5399" w:rsidSect="00D04C65">
              <w:footerReference w:type="default" r:id="rId15"/>
              <w:footerReference w:type="first" r:id="rId16"/>
              <w:pgSz w:w="11907" w:h="16839" w:code="9"/>
              <w:pgMar w:top="1134" w:right="1134" w:bottom="1134" w:left="1134" w:header="397" w:footer="397" w:gutter="0"/>
              <w:pgNumType w:start="0"/>
              <w:cols w:space="454"/>
              <w:titlePg/>
              <w:docGrid w:linePitch="360"/>
            </w:sectPr>
          </w:pPr>
        </w:p>
      </w:sdtContent>
    </w:sdt>
    <w:p w14:paraId="500A7E5C" w14:textId="7E4E739F" w:rsidR="0089506E" w:rsidRPr="008E5399" w:rsidRDefault="0089506E" w:rsidP="0089506E">
      <w:pPr>
        <w:pStyle w:val="TOCHeading"/>
        <w:rPr>
          <w:rFonts w:ascii="DM Sans" w:hAnsi="DM Sans"/>
        </w:rPr>
      </w:pPr>
      <w:r w:rsidRPr="008E5399">
        <w:rPr>
          <w:rFonts w:ascii="DM Sans" w:hAnsi="DM Sans"/>
        </w:rPr>
        <w:lastRenderedPageBreak/>
        <w:t>Contents</w:t>
      </w:r>
    </w:p>
    <w:p w14:paraId="318A1874" w14:textId="2F9E95F9" w:rsidR="00D70AFB" w:rsidRDefault="002526A5">
      <w:pPr>
        <w:pStyle w:val="TOC1"/>
        <w:rPr>
          <w:rFonts w:eastAsiaTheme="minorEastAsia" w:cstheme="minorBidi"/>
          <w:b w:val="0"/>
          <w:color w:val="auto"/>
          <w:kern w:val="2"/>
          <w:sz w:val="22"/>
          <w:szCs w:val="22"/>
          <w14:ligatures w14:val="standardContextual"/>
        </w:rPr>
      </w:pPr>
      <w:r w:rsidRPr="008E5399">
        <w:rPr>
          <w:rFonts w:ascii="DM Sans" w:hAnsi="DM Sans"/>
          <w:b w:val="0"/>
        </w:rPr>
        <w:fldChar w:fldCharType="begin"/>
      </w:r>
      <w:r w:rsidRPr="008E5399">
        <w:rPr>
          <w:rFonts w:ascii="DM Sans" w:hAnsi="DM Sans"/>
          <w:b w:val="0"/>
        </w:rPr>
        <w:instrText xml:space="preserve"> TOC \h \z \t "Heading 1,1,Heading 2,2,Heading 3,3,Section Heading,1,Appendix Heading 1,1,Heading Numbered 1,1,Heading Numbered 2,2,Heading Numbered 3,3,Heading 1 No Numbering,1,Heading 2 No Numbering,2" </w:instrText>
      </w:r>
      <w:r w:rsidRPr="008E5399">
        <w:rPr>
          <w:rFonts w:ascii="DM Sans" w:hAnsi="DM Sans"/>
          <w:b w:val="0"/>
        </w:rPr>
        <w:fldChar w:fldCharType="separate"/>
      </w:r>
      <w:hyperlink w:anchor="_Toc153841124" w:history="1">
        <w:r w:rsidR="00D70AFB" w:rsidRPr="00BA026B">
          <w:rPr>
            <w:rStyle w:val="Hyperlink"/>
          </w:rPr>
          <w:t>Two Overarching Recommendations</w:t>
        </w:r>
        <w:r w:rsidR="00D70AFB">
          <w:rPr>
            <w:webHidden/>
          </w:rPr>
          <w:tab/>
        </w:r>
        <w:r w:rsidR="00D70AFB">
          <w:rPr>
            <w:webHidden/>
          </w:rPr>
          <w:fldChar w:fldCharType="begin"/>
        </w:r>
        <w:r w:rsidR="00D70AFB">
          <w:rPr>
            <w:webHidden/>
          </w:rPr>
          <w:instrText xml:space="preserve"> PAGEREF _Toc153841124 \h </w:instrText>
        </w:r>
        <w:r w:rsidR="00D70AFB">
          <w:rPr>
            <w:webHidden/>
          </w:rPr>
        </w:r>
        <w:r w:rsidR="00D70AFB">
          <w:rPr>
            <w:webHidden/>
          </w:rPr>
          <w:fldChar w:fldCharType="separate"/>
        </w:r>
        <w:r w:rsidR="00D70AFB">
          <w:rPr>
            <w:webHidden/>
          </w:rPr>
          <w:t>1</w:t>
        </w:r>
        <w:r w:rsidR="00D70AFB">
          <w:rPr>
            <w:webHidden/>
          </w:rPr>
          <w:fldChar w:fldCharType="end"/>
        </w:r>
      </w:hyperlink>
    </w:p>
    <w:p w14:paraId="19D8F089" w14:textId="0F4B1463" w:rsidR="00D70AFB" w:rsidRDefault="00C939B1">
      <w:pPr>
        <w:pStyle w:val="TOC2"/>
        <w:rPr>
          <w:bCs w:val="0"/>
          <w:color w:val="auto"/>
          <w:kern w:val="2"/>
          <w:sz w:val="22"/>
          <w:szCs w:val="22"/>
          <w14:ligatures w14:val="standardContextual"/>
        </w:rPr>
      </w:pPr>
      <w:hyperlink w:anchor="_Toc153841125" w:history="1">
        <w:r w:rsidR="00D70AFB" w:rsidRPr="00BA026B">
          <w:rPr>
            <w:rStyle w:val="Hyperlink"/>
          </w:rPr>
          <w:t>1.</w:t>
        </w:r>
        <w:r w:rsidR="00D70AFB">
          <w:rPr>
            <w:bCs w:val="0"/>
            <w:color w:val="auto"/>
            <w:kern w:val="2"/>
            <w:sz w:val="22"/>
            <w:szCs w:val="22"/>
            <w14:ligatures w14:val="standardContextual"/>
          </w:rPr>
          <w:tab/>
        </w:r>
        <w:r w:rsidR="00D70AFB" w:rsidRPr="00BA026B">
          <w:rPr>
            <w:rStyle w:val="Hyperlink"/>
          </w:rPr>
          <w:t>Make bold policy reform recommendations.</w:t>
        </w:r>
        <w:r w:rsidR="00D70AFB">
          <w:rPr>
            <w:webHidden/>
          </w:rPr>
          <w:tab/>
        </w:r>
        <w:r w:rsidR="00D70AFB">
          <w:rPr>
            <w:webHidden/>
          </w:rPr>
          <w:fldChar w:fldCharType="begin"/>
        </w:r>
        <w:r w:rsidR="00D70AFB">
          <w:rPr>
            <w:webHidden/>
          </w:rPr>
          <w:instrText xml:space="preserve"> PAGEREF _Toc153841125 \h </w:instrText>
        </w:r>
        <w:r w:rsidR="00D70AFB">
          <w:rPr>
            <w:webHidden/>
          </w:rPr>
        </w:r>
        <w:r w:rsidR="00D70AFB">
          <w:rPr>
            <w:webHidden/>
          </w:rPr>
          <w:fldChar w:fldCharType="separate"/>
        </w:r>
        <w:r w:rsidR="00D70AFB">
          <w:rPr>
            <w:webHidden/>
          </w:rPr>
          <w:t>1</w:t>
        </w:r>
        <w:r w:rsidR="00D70AFB">
          <w:rPr>
            <w:webHidden/>
          </w:rPr>
          <w:fldChar w:fldCharType="end"/>
        </w:r>
      </w:hyperlink>
    </w:p>
    <w:p w14:paraId="32907BCE" w14:textId="488D3AC6" w:rsidR="00D70AFB" w:rsidRDefault="00C939B1">
      <w:pPr>
        <w:pStyle w:val="TOC2"/>
        <w:rPr>
          <w:bCs w:val="0"/>
          <w:color w:val="auto"/>
          <w:kern w:val="2"/>
          <w:sz w:val="22"/>
          <w:szCs w:val="22"/>
          <w14:ligatures w14:val="standardContextual"/>
        </w:rPr>
      </w:pPr>
      <w:hyperlink w:anchor="_Toc153841126" w:history="1">
        <w:r w:rsidR="00D70AFB" w:rsidRPr="00BA026B">
          <w:rPr>
            <w:rStyle w:val="Hyperlink"/>
          </w:rPr>
          <w:t>2.</w:t>
        </w:r>
        <w:r w:rsidR="00D70AFB">
          <w:rPr>
            <w:bCs w:val="0"/>
            <w:color w:val="auto"/>
            <w:kern w:val="2"/>
            <w:sz w:val="22"/>
            <w:szCs w:val="22"/>
            <w14:ligatures w14:val="standardContextual"/>
          </w:rPr>
          <w:tab/>
        </w:r>
        <w:r w:rsidR="00D70AFB" w:rsidRPr="00BA026B">
          <w:rPr>
            <w:rStyle w:val="Hyperlink"/>
          </w:rPr>
          <w:t>Include the philanthropic perspective and reforms to grow giving.</w:t>
        </w:r>
        <w:r w:rsidR="00D70AFB">
          <w:rPr>
            <w:webHidden/>
          </w:rPr>
          <w:tab/>
        </w:r>
        <w:r w:rsidR="00D70AFB">
          <w:rPr>
            <w:webHidden/>
          </w:rPr>
          <w:fldChar w:fldCharType="begin"/>
        </w:r>
        <w:r w:rsidR="00D70AFB">
          <w:rPr>
            <w:webHidden/>
          </w:rPr>
          <w:instrText xml:space="preserve"> PAGEREF _Toc153841126 \h </w:instrText>
        </w:r>
        <w:r w:rsidR="00D70AFB">
          <w:rPr>
            <w:webHidden/>
          </w:rPr>
        </w:r>
        <w:r w:rsidR="00D70AFB">
          <w:rPr>
            <w:webHidden/>
          </w:rPr>
          <w:fldChar w:fldCharType="separate"/>
        </w:r>
        <w:r w:rsidR="00D70AFB">
          <w:rPr>
            <w:webHidden/>
          </w:rPr>
          <w:t>1</w:t>
        </w:r>
        <w:r w:rsidR="00D70AFB">
          <w:rPr>
            <w:webHidden/>
          </w:rPr>
          <w:fldChar w:fldCharType="end"/>
        </w:r>
      </w:hyperlink>
    </w:p>
    <w:p w14:paraId="6BEA64FA" w14:textId="2CB80282" w:rsidR="00D70AFB" w:rsidRDefault="00C939B1">
      <w:pPr>
        <w:pStyle w:val="TOC1"/>
        <w:rPr>
          <w:rFonts w:eastAsiaTheme="minorEastAsia" w:cstheme="minorBidi"/>
          <w:b w:val="0"/>
          <w:color w:val="auto"/>
          <w:kern w:val="2"/>
          <w:sz w:val="22"/>
          <w:szCs w:val="22"/>
          <w14:ligatures w14:val="standardContextual"/>
        </w:rPr>
      </w:pPr>
      <w:hyperlink w:anchor="_Toc153841127" w:history="1">
        <w:r w:rsidR="00D70AFB" w:rsidRPr="00BA026B">
          <w:rPr>
            <w:rStyle w:val="Hyperlink"/>
          </w:rPr>
          <w:t>Seven High Priority Policy Recommendations</w:t>
        </w:r>
        <w:r w:rsidR="00D70AFB">
          <w:rPr>
            <w:webHidden/>
          </w:rPr>
          <w:tab/>
        </w:r>
        <w:r w:rsidR="00D70AFB">
          <w:rPr>
            <w:webHidden/>
          </w:rPr>
          <w:fldChar w:fldCharType="begin"/>
        </w:r>
        <w:r w:rsidR="00D70AFB">
          <w:rPr>
            <w:webHidden/>
          </w:rPr>
          <w:instrText xml:space="preserve"> PAGEREF _Toc153841127 \h </w:instrText>
        </w:r>
        <w:r w:rsidR="00D70AFB">
          <w:rPr>
            <w:webHidden/>
          </w:rPr>
        </w:r>
        <w:r w:rsidR="00D70AFB">
          <w:rPr>
            <w:webHidden/>
          </w:rPr>
          <w:fldChar w:fldCharType="separate"/>
        </w:r>
        <w:r w:rsidR="00D70AFB">
          <w:rPr>
            <w:webHidden/>
          </w:rPr>
          <w:t>2</w:t>
        </w:r>
        <w:r w:rsidR="00D70AFB">
          <w:rPr>
            <w:webHidden/>
          </w:rPr>
          <w:fldChar w:fldCharType="end"/>
        </w:r>
      </w:hyperlink>
    </w:p>
    <w:p w14:paraId="1A30AE2E" w14:textId="07AACEE3" w:rsidR="00D70AFB" w:rsidRDefault="00C939B1">
      <w:pPr>
        <w:pStyle w:val="TOC2"/>
        <w:rPr>
          <w:bCs w:val="0"/>
          <w:color w:val="auto"/>
          <w:kern w:val="2"/>
          <w:sz w:val="22"/>
          <w:szCs w:val="22"/>
          <w14:ligatures w14:val="standardContextual"/>
        </w:rPr>
      </w:pPr>
      <w:hyperlink w:anchor="_Toc153841128" w:history="1">
        <w:r w:rsidR="00D70AFB" w:rsidRPr="00BA026B">
          <w:rPr>
            <w:rStyle w:val="Hyperlink"/>
          </w:rPr>
          <w:t>1.</w:t>
        </w:r>
        <w:r w:rsidR="00D70AFB">
          <w:rPr>
            <w:bCs w:val="0"/>
            <w:color w:val="auto"/>
            <w:kern w:val="2"/>
            <w:sz w:val="22"/>
            <w:szCs w:val="22"/>
            <w14:ligatures w14:val="standardContextual"/>
          </w:rPr>
          <w:tab/>
        </w:r>
        <w:r w:rsidR="00D70AFB" w:rsidRPr="00BA026B">
          <w:rPr>
            <w:rStyle w:val="Hyperlink"/>
          </w:rPr>
          <w:t>Super bequests</w:t>
        </w:r>
        <w:r w:rsidR="00D70AFB">
          <w:rPr>
            <w:webHidden/>
          </w:rPr>
          <w:tab/>
        </w:r>
        <w:r w:rsidR="00D70AFB">
          <w:rPr>
            <w:webHidden/>
          </w:rPr>
          <w:fldChar w:fldCharType="begin"/>
        </w:r>
        <w:r w:rsidR="00D70AFB">
          <w:rPr>
            <w:webHidden/>
          </w:rPr>
          <w:instrText xml:space="preserve"> PAGEREF _Toc153841128 \h </w:instrText>
        </w:r>
        <w:r w:rsidR="00D70AFB">
          <w:rPr>
            <w:webHidden/>
          </w:rPr>
        </w:r>
        <w:r w:rsidR="00D70AFB">
          <w:rPr>
            <w:webHidden/>
          </w:rPr>
          <w:fldChar w:fldCharType="separate"/>
        </w:r>
        <w:r w:rsidR="00D70AFB">
          <w:rPr>
            <w:webHidden/>
          </w:rPr>
          <w:t>2</w:t>
        </w:r>
        <w:r w:rsidR="00D70AFB">
          <w:rPr>
            <w:webHidden/>
          </w:rPr>
          <w:fldChar w:fldCharType="end"/>
        </w:r>
      </w:hyperlink>
    </w:p>
    <w:p w14:paraId="5896C8CA" w14:textId="1E488A67" w:rsidR="00D70AFB" w:rsidRDefault="00C939B1">
      <w:pPr>
        <w:pStyle w:val="TOC2"/>
        <w:rPr>
          <w:bCs w:val="0"/>
          <w:color w:val="auto"/>
          <w:kern w:val="2"/>
          <w:sz w:val="22"/>
          <w:szCs w:val="22"/>
          <w14:ligatures w14:val="standardContextual"/>
        </w:rPr>
      </w:pPr>
      <w:hyperlink w:anchor="_Toc153841129" w:history="1">
        <w:r w:rsidR="00D70AFB" w:rsidRPr="00BA026B">
          <w:rPr>
            <w:rStyle w:val="Hyperlink"/>
          </w:rPr>
          <w:t>2.</w:t>
        </w:r>
        <w:r w:rsidR="00D70AFB">
          <w:rPr>
            <w:bCs w:val="0"/>
            <w:color w:val="auto"/>
            <w:kern w:val="2"/>
            <w:sz w:val="22"/>
            <w:szCs w:val="22"/>
            <w14:ligatures w14:val="standardContextual"/>
          </w:rPr>
          <w:tab/>
        </w:r>
        <w:r w:rsidR="00D70AFB" w:rsidRPr="00BA026B">
          <w:rPr>
            <w:rStyle w:val="Hyperlink"/>
          </w:rPr>
          <w:t>DGR for all charities, not just half.</w:t>
        </w:r>
        <w:r w:rsidR="00D70AFB">
          <w:rPr>
            <w:webHidden/>
          </w:rPr>
          <w:tab/>
        </w:r>
        <w:r w:rsidR="00D70AFB">
          <w:rPr>
            <w:webHidden/>
          </w:rPr>
          <w:fldChar w:fldCharType="begin"/>
        </w:r>
        <w:r w:rsidR="00D70AFB">
          <w:rPr>
            <w:webHidden/>
          </w:rPr>
          <w:instrText xml:space="preserve"> PAGEREF _Toc153841129 \h </w:instrText>
        </w:r>
        <w:r w:rsidR="00D70AFB">
          <w:rPr>
            <w:webHidden/>
          </w:rPr>
        </w:r>
        <w:r w:rsidR="00D70AFB">
          <w:rPr>
            <w:webHidden/>
          </w:rPr>
          <w:fldChar w:fldCharType="separate"/>
        </w:r>
        <w:r w:rsidR="00D70AFB">
          <w:rPr>
            <w:webHidden/>
          </w:rPr>
          <w:t>4</w:t>
        </w:r>
        <w:r w:rsidR="00D70AFB">
          <w:rPr>
            <w:webHidden/>
          </w:rPr>
          <w:fldChar w:fldCharType="end"/>
        </w:r>
      </w:hyperlink>
    </w:p>
    <w:p w14:paraId="2BA1E26C" w14:textId="69100834" w:rsidR="00D70AFB" w:rsidRDefault="00C939B1">
      <w:pPr>
        <w:pStyle w:val="TOC2"/>
        <w:rPr>
          <w:bCs w:val="0"/>
          <w:color w:val="auto"/>
          <w:kern w:val="2"/>
          <w:sz w:val="22"/>
          <w:szCs w:val="22"/>
          <w14:ligatures w14:val="standardContextual"/>
        </w:rPr>
      </w:pPr>
      <w:hyperlink w:anchor="_Toc153841130" w:history="1">
        <w:r w:rsidR="00D70AFB" w:rsidRPr="00BA026B">
          <w:rPr>
            <w:rStyle w:val="Hyperlink"/>
          </w:rPr>
          <w:t>3.</w:t>
        </w:r>
        <w:r w:rsidR="00D70AFB">
          <w:rPr>
            <w:bCs w:val="0"/>
            <w:color w:val="auto"/>
            <w:kern w:val="2"/>
            <w:sz w:val="22"/>
            <w:szCs w:val="22"/>
            <w14:ligatures w14:val="standardContextual"/>
          </w:rPr>
          <w:tab/>
        </w:r>
        <w:r w:rsidR="00D70AFB" w:rsidRPr="00BA026B">
          <w:rPr>
            <w:rStyle w:val="Hyperlink"/>
          </w:rPr>
          <w:t>Providing people with a voluntary choice to donate some of their tax return to charity.</w:t>
        </w:r>
        <w:r w:rsidR="00D70AFB">
          <w:rPr>
            <w:webHidden/>
          </w:rPr>
          <w:tab/>
        </w:r>
        <w:r w:rsidR="00D70AFB">
          <w:rPr>
            <w:webHidden/>
          </w:rPr>
          <w:fldChar w:fldCharType="begin"/>
        </w:r>
        <w:r w:rsidR="00D70AFB">
          <w:rPr>
            <w:webHidden/>
          </w:rPr>
          <w:instrText xml:space="preserve"> PAGEREF _Toc153841130 \h </w:instrText>
        </w:r>
        <w:r w:rsidR="00D70AFB">
          <w:rPr>
            <w:webHidden/>
          </w:rPr>
        </w:r>
        <w:r w:rsidR="00D70AFB">
          <w:rPr>
            <w:webHidden/>
          </w:rPr>
          <w:fldChar w:fldCharType="separate"/>
        </w:r>
        <w:r w:rsidR="00D70AFB">
          <w:rPr>
            <w:webHidden/>
          </w:rPr>
          <w:t>6</w:t>
        </w:r>
        <w:r w:rsidR="00D70AFB">
          <w:rPr>
            <w:webHidden/>
          </w:rPr>
          <w:fldChar w:fldCharType="end"/>
        </w:r>
      </w:hyperlink>
    </w:p>
    <w:p w14:paraId="7C78186E" w14:textId="08A51605" w:rsidR="00D70AFB" w:rsidRDefault="00C939B1">
      <w:pPr>
        <w:pStyle w:val="TOC2"/>
        <w:rPr>
          <w:bCs w:val="0"/>
          <w:color w:val="auto"/>
          <w:kern w:val="2"/>
          <w:sz w:val="22"/>
          <w:szCs w:val="22"/>
          <w14:ligatures w14:val="standardContextual"/>
        </w:rPr>
      </w:pPr>
      <w:hyperlink w:anchor="_Toc153841131" w:history="1">
        <w:r w:rsidR="00D70AFB" w:rsidRPr="00BA026B">
          <w:rPr>
            <w:rStyle w:val="Hyperlink"/>
          </w:rPr>
          <w:t>4.</w:t>
        </w:r>
        <w:r w:rsidR="00D70AFB">
          <w:rPr>
            <w:bCs w:val="0"/>
            <w:color w:val="auto"/>
            <w:kern w:val="2"/>
            <w:sz w:val="22"/>
            <w:szCs w:val="22"/>
            <w14:ligatures w14:val="standardContextual"/>
          </w:rPr>
          <w:tab/>
        </w:r>
        <w:r w:rsidR="00D70AFB" w:rsidRPr="00BA026B">
          <w:rPr>
            <w:rStyle w:val="Hyperlink"/>
          </w:rPr>
          <w:t>A National Giving Campaign</w:t>
        </w:r>
        <w:r w:rsidR="00D70AFB">
          <w:rPr>
            <w:webHidden/>
          </w:rPr>
          <w:tab/>
        </w:r>
        <w:r w:rsidR="00D70AFB">
          <w:rPr>
            <w:webHidden/>
          </w:rPr>
          <w:fldChar w:fldCharType="begin"/>
        </w:r>
        <w:r w:rsidR="00D70AFB">
          <w:rPr>
            <w:webHidden/>
          </w:rPr>
          <w:instrText xml:space="preserve"> PAGEREF _Toc153841131 \h </w:instrText>
        </w:r>
        <w:r w:rsidR="00D70AFB">
          <w:rPr>
            <w:webHidden/>
          </w:rPr>
        </w:r>
        <w:r w:rsidR="00D70AFB">
          <w:rPr>
            <w:webHidden/>
          </w:rPr>
          <w:fldChar w:fldCharType="separate"/>
        </w:r>
        <w:r w:rsidR="00D70AFB">
          <w:rPr>
            <w:webHidden/>
          </w:rPr>
          <w:t>7</w:t>
        </w:r>
        <w:r w:rsidR="00D70AFB">
          <w:rPr>
            <w:webHidden/>
          </w:rPr>
          <w:fldChar w:fldCharType="end"/>
        </w:r>
      </w:hyperlink>
    </w:p>
    <w:p w14:paraId="264E33F1" w14:textId="49F2E346" w:rsidR="00D70AFB" w:rsidRDefault="00C939B1">
      <w:pPr>
        <w:pStyle w:val="TOC2"/>
        <w:rPr>
          <w:bCs w:val="0"/>
          <w:color w:val="auto"/>
          <w:kern w:val="2"/>
          <w:sz w:val="22"/>
          <w:szCs w:val="22"/>
          <w14:ligatures w14:val="standardContextual"/>
        </w:rPr>
      </w:pPr>
      <w:hyperlink w:anchor="_Toc153841132" w:history="1">
        <w:r w:rsidR="00D70AFB" w:rsidRPr="00BA026B">
          <w:rPr>
            <w:rStyle w:val="Hyperlink"/>
          </w:rPr>
          <w:t>5.</w:t>
        </w:r>
        <w:r w:rsidR="00D70AFB">
          <w:rPr>
            <w:bCs w:val="0"/>
            <w:color w:val="auto"/>
            <w:kern w:val="2"/>
            <w:sz w:val="22"/>
            <w:szCs w:val="22"/>
            <w14:ligatures w14:val="standardContextual"/>
          </w:rPr>
          <w:tab/>
        </w:r>
        <w:r w:rsidR="00D70AFB" w:rsidRPr="00BA026B">
          <w:rPr>
            <w:rStyle w:val="Hyperlink"/>
          </w:rPr>
          <w:t>Growing our national network of Community Foundations.</w:t>
        </w:r>
        <w:r w:rsidR="00D70AFB">
          <w:rPr>
            <w:webHidden/>
          </w:rPr>
          <w:tab/>
        </w:r>
        <w:r w:rsidR="00D70AFB">
          <w:rPr>
            <w:webHidden/>
          </w:rPr>
          <w:fldChar w:fldCharType="begin"/>
        </w:r>
        <w:r w:rsidR="00D70AFB">
          <w:rPr>
            <w:webHidden/>
          </w:rPr>
          <w:instrText xml:space="preserve"> PAGEREF _Toc153841132 \h </w:instrText>
        </w:r>
        <w:r w:rsidR="00D70AFB">
          <w:rPr>
            <w:webHidden/>
          </w:rPr>
        </w:r>
        <w:r w:rsidR="00D70AFB">
          <w:rPr>
            <w:webHidden/>
          </w:rPr>
          <w:fldChar w:fldCharType="separate"/>
        </w:r>
        <w:r w:rsidR="00D70AFB">
          <w:rPr>
            <w:webHidden/>
          </w:rPr>
          <w:t>10</w:t>
        </w:r>
        <w:r w:rsidR="00D70AFB">
          <w:rPr>
            <w:webHidden/>
          </w:rPr>
          <w:fldChar w:fldCharType="end"/>
        </w:r>
      </w:hyperlink>
    </w:p>
    <w:p w14:paraId="212B6152" w14:textId="0225A6E1" w:rsidR="00D70AFB" w:rsidRDefault="00C939B1">
      <w:pPr>
        <w:pStyle w:val="TOC2"/>
        <w:rPr>
          <w:bCs w:val="0"/>
          <w:color w:val="auto"/>
          <w:kern w:val="2"/>
          <w:sz w:val="22"/>
          <w:szCs w:val="22"/>
          <w14:ligatures w14:val="standardContextual"/>
        </w:rPr>
      </w:pPr>
      <w:hyperlink w:anchor="_Toc153841133" w:history="1">
        <w:r w:rsidR="00D70AFB" w:rsidRPr="00BA026B">
          <w:rPr>
            <w:rStyle w:val="Hyperlink"/>
          </w:rPr>
          <w:t>6.</w:t>
        </w:r>
        <w:r w:rsidR="00D70AFB">
          <w:rPr>
            <w:bCs w:val="0"/>
            <w:color w:val="auto"/>
            <w:kern w:val="2"/>
            <w:sz w:val="22"/>
            <w:szCs w:val="22"/>
            <w14:ligatures w14:val="standardContextual"/>
          </w:rPr>
          <w:tab/>
        </w:r>
        <w:r w:rsidR="00D70AFB" w:rsidRPr="00BA026B">
          <w:rPr>
            <w:rStyle w:val="Hyperlink"/>
          </w:rPr>
          <w:t>A stronger charity sector</w:t>
        </w:r>
        <w:r w:rsidR="00D70AFB">
          <w:rPr>
            <w:webHidden/>
          </w:rPr>
          <w:tab/>
        </w:r>
        <w:r w:rsidR="00D70AFB">
          <w:rPr>
            <w:webHidden/>
          </w:rPr>
          <w:fldChar w:fldCharType="begin"/>
        </w:r>
        <w:r w:rsidR="00D70AFB">
          <w:rPr>
            <w:webHidden/>
          </w:rPr>
          <w:instrText xml:space="preserve"> PAGEREF _Toc153841133 \h </w:instrText>
        </w:r>
        <w:r w:rsidR="00D70AFB">
          <w:rPr>
            <w:webHidden/>
          </w:rPr>
        </w:r>
        <w:r w:rsidR="00D70AFB">
          <w:rPr>
            <w:webHidden/>
          </w:rPr>
          <w:fldChar w:fldCharType="separate"/>
        </w:r>
        <w:r w:rsidR="00D70AFB">
          <w:rPr>
            <w:webHidden/>
          </w:rPr>
          <w:t>12</w:t>
        </w:r>
        <w:r w:rsidR="00D70AFB">
          <w:rPr>
            <w:webHidden/>
          </w:rPr>
          <w:fldChar w:fldCharType="end"/>
        </w:r>
      </w:hyperlink>
    </w:p>
    <w:p w14:paraId="1841462E" w14:textId="4FD6918A" w:rsidR="00D70AFB" w:rsidRDefault="00C939B1">
      <w:pPr>
        <w:pStyle w:val="TOC2"/>
        <w:rPr>
          <w:bCs w:val="0"/>
          <w:color w:val="auto"/>
          <w:kern w:val="2"/>
          <w:sz w:val="22"/>
          <w:szCs w:val="22"/>
          <w14:ligatures w14:val="standardContextual"/>
        </w:rPr>
      </w:pPr>
      <w:hyperlink w:anchor="_Toc153841134" w:history="1">
        <w:r w:rsidR="00D70AFB" w:rsidRPr="00BA026B">
          <w:rPr>
            <w:rStyle w:val="Hyperlink"/>
            <w:rFonts w:ascii="DM Sans" w:hAnsi="DM Sans"/>
          </w:rPr>
          <w:t>7.</w:t>
        </w:r>
        <w:r w:rsidR="00D70AFB">
          <w:rPr>
            <w:bCs w:val="0"/>
            <w:color w:val="auto"/>
            <w:kern w:val="2"/>
            <w:sz w:val="22"/>
            <w:szCs w:val="22"/>
            <w14:ligatures w14:val="standardContextual"/>
          </w:rPr>
          <w:tab/>
        </w:r>
        <w:r w:rsidR="00D70AFB" w:rsidRPr="00BA026B">
          <w:rPr>
            <w:rStyle w:val="Hyperlink"/>
            <w:rFonts w:ascii="DM Sans" w:hAnsi="DM Sans"/>
          </w:rPr>
          <w:t>Freedom to advocate</w:t>
        </w:r>
        <w:r w:rsidR="00D70AFB">
          <w:rPr>
            <w:webHidden/>
          </w:rPr>
          <w:tab/>
        </w:r>
        <w:r w:rsidR="00D70AFB">
          <w:rPr>
            <w:webHidden/>
          </w:rPr>
          <w:fldChar w:fldCharType="begin"/>
        </w:r>
        <w:r w:rsidR="00D70AFB">
          <w:rPr>
            <w:webHidden/>
          </w:rPr>
          <w:instrText xml:space="preserve"> PAGEREF _Toc153841134 \h </w:instrText>
        </w:r>
        <w:r w:rsidR="00D70AFB">
          <w:rPr>
            <w:webHidden/>
          </w:rPr>
        </w:r>
        <w:r w:rsidR="00D70AFB">
          <w:rPr>
            <w:webHidden/>
          </w:rPr>
          <w:fldChar w:fldCharType="separate"/>
        </w:r>
        <w:r w:rsidR="00D70AFB">
          <w:rPr>
            <w:webHidden/>
          </w:rPr>
          <w:t>14</w:t>
        </w:r>
        <w:r w:rsidR="00D70AFB">
          <w:rPr>
            <w:webHidden/>
          </w:rPr>
          <w:fldChar w:fldCharType="end"/>
        </w:r>
      </w:hyperlink>
    </w:p>
    <w:p w14:paraId="22B69D84" w14:textId="1B2E1FD1" w:rsidR="002526A5" w:rsidRPr="008E5399" w:rsidRDefault="002526A5" w:rsidP="002526A5">
      <w:pPr>
        <w:rPr>
          <w:rFonts w:ascii="DM Sans" w:hAnsi="DM Sans"/>
        </w:rPr>
      </w:pPr>
      <w:r w:rsidRPr="008E5399">
        <w:rPr>
          <w:rFonts w:ascii="DM Sans" w:hAnsi="DM Sans"/>
          <w:b/>
          <w:noProof/>
          <w:color w:val="0F204B" w:themeColor="text2"/>
          <w:szCs w:val="18"/>
        </w:rPr>
        <w:fldChar w:fldCharType="end"/>
      </w:r>
    </w:p>
    <w:p w14:paraId="3236338A" w14:textId="77777777" w:rsidR="0057409A" w:rsidRPr="008E5399" w:rsidRDefault="0057409A" w:rsidP="002526A5">
      <w:pPr>
        <w:rPr>
          <w:rFonts w:ascii="DM Sans" w:hAnsi="DM Sans"/>
        </w:rPr>
        <w:sectPr w:rsidR="0057409A" w:rsidRPr="008E5399" w:rsidSect="002526A5">
          <w:pgSz w:w="11907" w:h="16839" w:code="9"/>
          <w:pgMar w:top="1134" w:right="1134" w:bottom="1134" w:left="1134" w:header="397" w:footer="397" w:gutter="0"/>
          <w:pgNumType w:fmt="lowerRoman" w:start="1"/>
          <w:cols w:space="454"/>
          <w:docGrid w:linePitch="360"/>
        </w:sectPr>
      </w:pPr>
    </w:p>
    <w:p w14:paraId="52AAC9CC" w14:textId="6D5AED96" w:rsidR="00F6368C" w:rsidRPr="00933303" w:rsidRDefault="00DB717D" w:rsidP="00260607">
      <w:pPr>
        <w:pStyle w:val="Heading1NoNumbering"/>
        <w:rPr>
          <w:rFonts w:asciiTheme="minorHAnsi" w:hAnsiTheme="minorHAnsi"/>
        </w:rPr>
      </w:pPr>
      <w:bookmarkStart w:id="0" w:name="_Toc153841124"/>
      <w:bookmarkStart w:id="1" w:name="_Toc128563926"/>
      <w:bookmarkStart w:id="2" w:name="_Toc133162684"/>
      <w:r w:rsidRPr="00933303">
        <w:rPr>
          <w:rFonts w:asciiTheme="minorHAnsi" w:hAnsiTheme="minorHAnsi"/>
        </w:rPr>
        <w:lastRenderedPageBreak/>
        <w:t>Two Overarching</w:t>
      </w:r>
      <w:r w:rsidR="00F00109" w:rsidRPr="00933303">
        <w:rPr>
          <w:rFonts w:asciiTheme="minorHAnsi" w:hAnsiTheme="minorHAnsi"/>
        </w:rPr>
        <w:t xml:space="preserve"> </w:t>
      </w:r>
      <w:r w:rsidR="000411F8" w:rsidRPr="00933303">
        <w:rPr>
          <w:rFonts w:asciiTheme="minorHAnsi" w:hAnsiTheme="minorHAnsi"/>
        </w:rPr>
        <w:t>Recommendations</w:t>
      </w:r>
      <w:bookmarkEnd w:id="0"/>
    </w:p>
    <w:p w14:paraId="62104C62" w14:textId="77777777" w:rsidR="004B77A9" w:rsidRPr="00933303" w:rsidRDefault="002932CF" w:rsidP="0093465B">
      <w:pPr>
        <w:pStyle w:val="Heading2NoNumbering"/>
        <w:numPr>
          <w:ilvl w:val="0"/>
          <w:numId w:val="22"/>
        </w:numPr>
        <w:rPr>
          <w:rFonts w:asciiTheme="minorHAnsi" w:hAnsiTheme="minorHAnsi"/>
        </w:rPr>
      </w:pPr>
      <w:bookmarkStart w:id="3" w:name="_Toc153841125"/>
      <w:r w:rsidRPr="00933303">
        <w:rPr>
          <w:rFonts w:asciiTheme="minorHAnsi" w:hAnsiTheme="minorHAnsi"/>
        </w:rPr>
        <w:t xml:space="preserve">Make </w:t>
      </w:r>
      <w:r w:rsidR="00C264DC" w:rsidRPr="00933303">
        <w:rPr>
          <w:rFonts w:asciiTheme="minorHAnsi" w:hAnsiTheme="minorHAnsi"/>
        </w:rPr>
        <w:t xml:space="preserve">bold </w:t>
      </w:r>
      <w:r w:rsidRPr="00933303">
        <w:rPr>
          <w:rFonts w:asciiTheme="minorHAnsi" w:hAnsiTheme="minorHAnsi"/>
        </w:rPr>
        <w:t xml:space="preserve">policy </w:t>
      </w:r>
      <w:r w:rsidR="00C264DC" w:rsidRPr="00933303">
        <w:rPr>
          <w:rFonts w:asciiTheme="minorHAnsi" w:hAnsiTheme="minorHAnsi"/>
        </w:rPr>
        <w:t xml:space="preserve">reform </w:t>
      </w:r>
      <w:r w:rsidRPr="00933303">
        <w:rPr>
          <w:rFonts w:asciiTheme="minorHAnsi" w:hAnsiTheme="minorHAnsi"/>
        </w:rPr>
        <w:t>recommendations</w:t>
      </w:r>
      <w:r w:rsidR="004B77A9" w:rsidRPr="00933303">
        <w:rPr>
          <w:rFonts w:asciiTheme="minorHAnsi" w:hAnsiTheme="minorHAnsi"/>
        </w:rPr>
        <w:t>.</w:t>
      </w:r>
      <w:bookmarkEnd w:id="3"/>
    </w:p>
    <w:p w14:paraId="225DE2E1" w14:textId="2011852A" w:rsidR="00260607" w:rsidRPr="00933303" w:rsidRDefault="000411F8" w:rsidP="000411F8">
      <w:pPr>
        <w:pStyle w:val="BodyText"/>
        <w:rPr>
          <w:b/>
          <w:bCs/>
        </w:rPr>
      </w:pPr>
      <w:r w:rsidRPr="00933303">
        <w:rPr>
          <w:b/>
          <w:bCs/>
        </w:rPr>
        <w:t>Our first overarching recommendation is to make bold policy reform recommendations</w:t>
      </w:r>
      <w:r w:rsidR="002932CF" w:rsidRPr="00933303">
        <w:rPr>
          <w:b/>
          <w:bCs/>
        </w:rPr>
        <w:t xml:space="preserve"> that would achieve</w:t>
      </w:r>
      <w:r w:rsidR="001977C3" w:rsidRPr="00933303">
        <w:rPr>
          <w:b/>
          <w:bCs/>
        </w:rPr>
        <w:t xml:space="preserve"> </w:t>
      </w:r>
      <w:r w:rsidR="002932CF" w:rsidRPr="00933303">
        <w:rPr>
          <w:b/>
          <w:bCs/>
        </w:rPr>
        <w:t xml:space="preserve">transformational change for the </w:t>
      </w:r>
      <w:r w:rsidR="006F1F08" w:rsidRPr="00933303">
        <w:rPr>
          <w:b/>
          <w:bCs/>
        </w:rPr>
        <w:t>not</w:t>
      </w:r>
      <w:r w:rsidR="00766231" w:rsidRPr="00933303">
        <w:rPr>
          <w:b/>
          <w:bCs/>
        </w:rPr>
        <w:t>-for-profit</w:t>
      </w:r>
      <w:r w:rsidR="002932CF" w:rsidRPr="00933303">
        <w:rPr>
          <w:b/>
          <w:bCs/>
        </w:rPr>
        <w:t xml:space="preserve"> sector.</w:t>
      </w:r>
    </w:p>
    <w:p w14:paraId="018E4E5D" w14:textId="61487D10" w:rsidR="001C7D7A" w:rsidRPr="00933303" w:rsidRDefault="001C7D7A" w:rsidP="00F00109">
      <w:pPr>
        <w:pStyle w:val="BodyText"/>
      </w:pPr>
      <w:r w:rsidRPr="00933303">
        <w:t xml:space="preserve">Given the opportunity to recommend reform to a Government </w:t>
      </w:r>
      <w:r w:rsidR="003D682F" w:rsidRPr="00933303">
        <w:t xml:space="preserve">that has indicated it understands the value of the charity sector and is enthusiastic about pursuing reforms to strengthen its role in Australian society, </w:t>
      </w:r>
      <w:r w:rsidR="0029281D" w:rsidRPr="00933303">
        <w:t>we should seize the opportunity</w:t>
      </w:r>
      <w:r w:rsidR="000A659B" w:rsidRPr="00933303">
        <w:t xml:space="preserve"> provided by the invitation to recommend a Charity Blueprint to the government</w:t>
      </w:r>
      <w:r w:rsidR="0029281D" w:rsidRPr="00933303">
        <w:t xml:space="preserve">.  </w:t>
      </w:r>
      <w:r w:rsidR="00CC7D5F" w:rsidRPr="00933303">
        <w:t xml:space="preserve">A </w:t>
      </w:r>
      <w:r w:rsidR="0078055F" w:rsidRPr="00933303">
        <w:t>contained suite</w:t>
      </w:r>
      <w:r w:rsidR="00CC7D5F" w:rsidRPr="00933303">
        <w:t xml:space="preserve"> of high impact reforms</w:t>
      </w:r>
      <w:r w:rsidR="00F97427" w:rsidRPr="00933303">
        <w:t xml:space="preserve"> should be recommended.  </w:t>
      </w:r>
      <w:r w:rsidR="00C933E8" w:rsidRPr="00933303">
        <w:t xml:space="preserve">If the government is </w:t>
      </w:r>
      <w:r w:rsidR="00710F5A" w:rsidRPr="00933303">
        <w:t>disposed</w:t>
      </w:r>
      <w:r w:rsidR="00C933E8" w:rsidRPr="00933303">
        <w:t xml:space="preserve"> to offset </w:t>
      </w:r>
      <w:r w:rsidR="00044863" w:rsidRPr="00933303">
        <w:t xml:space="preserve">any funding involved it can do so from </w:t>
      </w:r>
      <w:r w:rsidR="005470CD" w:rsidRPr="00933303">
        <w:t xml:space="preserve">amongst its </w:t>
      </w:r>
      <w:r w:rsidR="00044863" w:rsidRPr="00933303">
        <w:t>hundreds of billion</w:t>
      </w:r>
      <w:r w:rsidR="005470CD" w:rsidRPr="00933303">
        <w:t>s</w:t>
      </w:r>
      <w:r w:rsidR="00044863" w:rsidRPr="00933303">
        <w:t xml:space="preserve"> </w:t>
      </w:r>
      <w:r w:rsidR="005470CD" w:rsidRPr="00933303">
        <w:t>in</w:t>
      </w:r>
      <w:r w:rsidR="00044863" w:rsidRPr="00933303">
        <w:t xml:space="preserve"> tax expenditures across government, and/or through judicious </w:t>
      </w:r>
      <w:r w:rsidR="00646A22" w:rsidRPr="00933303">
        <w:t>re-</w:t>
      </w:r>
      <w:r w:rsidR="00B845BB" w:rsidRPr="00933303">
        <w:t xml:space="preserve">prioritisation amongst its </w:t>
      </w:r>
      <w:r w:rsidR="00AA5403" w:rsidRPr="00933303">
        <w:t xml:space="preserve">$682 billion in spending (2023-24 estimate as provided in the </w:t>
      </w:r>
      <w:r w:rsidR="00710F5A" w:rsidRPr="00933303">
        <w:t>2023-24 Budget).</w:t>
      </w:r>
    </w:p>
    <w:p w14:paraId="7A9BA66B" w14:textId="77777777" w:rsidR="00E023A9" w:rsidRPr="00933303" w:rsidRDefault="00E023A9" w:rsidP="0093465B">
      <w:pPr>
        <w:pStyle w:val="Heading2NoNumbering"/>
        <w:numPr>
          <w:ilvl w:val="0"/>
          <w:numId w:val="22"/>
        </w:numPr>
        <w:rPr>
          <w:rFonts w:asciiTheme="minorHAnsi" w:hAnsiTheme="minorHAnsi"/>
        </w:rPr>
      </w:pPr>
      <w:bookmarkStart w:id="4" w:name="_Toc153841126"/>
      <w:r w:rsidRPr="00933303">
        <w:rPr>
          <w:rFonts w:asciiTheme="minorHAnsi" w:hAnsiTheme="minorHAnsi"/>
        </w:rPr>
        <w:t>Include the philanthropic perspective and reforms to grow giving.</w:t>
      </w:r>
      <w:bookmarkEnd w:id="4"/>
    </w:p>
    <w:p w14:paraId="54934721" w14:textId="390B1E71" w:rsidR="005508AE" w:rsidRPr="00933303" w:rsidRDefault="006F1F08" w:rsidP="00E023A9">
      <w:pPr>
        <w:pStyle w:val="BodyText"/>
        <w:rPr>
          <w:b/>
          <w:bCs/>
        </w:rPr>
      </w:pPr>
      <w:r w:rsidRPr="00933303">
        <w:rPr>
          <w:b/>
          <w:bCs/>
        </w:rPr>
        <w:t xml:space="preserve">Philanthropy is </w:t>
      </w:r>
      <w:r w:rsidR="005508AE" w:rsidRPr="00933303">
        <w:rPr>
          <w:b/>
          <w:bCs/>
        </w:rPr>
        <w:t>an important</w:t>
      </w:r>
      <w:r w:rsidRPr="00933303">
        <w:rPr>
          <w:b/>
          <w:bCs/>
        </w:rPr>
        <w:t xml:space="preserve"> part of the </w:t>
      </w:r>
      <w:r w:rsidR="00766231" w:rsidRPr="00933303">
        <w:rPr>
          <w:b/>
          <w:bCs/>
        </w:rPr>
        <w:t xml:space="preserve">not-for-profit sector.  Its perspective </w:t>
      </w:r>
      <w:r w:rsidR="00EB31F9" w:rsidRPr="00933303">
        <w:rPr>
          <w:b/>
          <w:bCs/>
        </w:rPr>
        <w:t xml:space="preserve">- </w:t>
      </w:r>
      <w:r w:rsidR="00766231" w:rsidRPr="00933303">
        <w:rPr>
          <w:b/>
          <w:bCs/>
        </w:rPr>
        <w:t xml:space="preserve">and reforms that would boost giving to charity </w:t>
      </w:r>
      <w:r w:rsidR="00EB31F9" w:rsidRPr="00933303">
        <w:rPr>
          <w:b/>
          <w:bCs/>
        </w:rPr>
        <w:t>– should form part of the Charity Blueprint provided to government.</w:t>
      </w:r>
    </w:p>
    <w:p w14:paraId="0F1E2298" w14:textId="517D2321" w:rsidR="00BA1EA3" w:rsidRPr="00933303" w:rsidRDefault="00510AFF" w:rsidP="008C0CD2">
      <w:pPr>
        <w:pStyle w:val="BodyText"/>
      </w:pPr>
      <w:r w:rsidRPr="00933303">
        <w:t>As the discussion paper notes: ‘Given the Blueprint Expert Reference Group’s experience draws heavily from the community services sector</w:t>
      </w:r>
      <w:r w:rsidR="001526D2" w:rsidRPr="00933303">
        <w:t>, this public consultation phase is critical to inform a Blueprint that is meaningful to the broader NFP sector.’</w:t>
      </w:r>
    </w:p>
    <w:p w14:paraId="08914A63" w14:textId="77777777" w:rsidR="002231E2" w:rsidRPr="00933303" w:rsidRDefault="00C468D3" w:rsidP="00603E84">
      <w:pPr>
        <w:pStyle w:val="BodyText"/>
        <w:numPr>
          <w:ilvl w:val="0"/>
          <w:numId w:val="53"/>
        </w:numPr>
      </w:pPr>
      <w:r w:rsidRPr="00933303">
        <w:t>Philanthropic organisations are charities</w:t>
      </w:r>
      <w:r w:rsidR="00801C62" w:rsidRPr="00933303">
        <w:t xml:space="preserve"> and make an important contribution to national wellbeing</w:t>
      </w:r>
      <w:r w:rsidR="00DC26BE" w:rsidRPr="00933303">
        <w:t>.</w:t>
      </w:r>
      <w:r w:rsidR="0098371A" w:rsidRPr="00933303">
        <w:t xml:space="preserve">  </w:t>
      </w:r>
    </w:p>
    <w:p w14:paraId="4D59DA69" w14:textId="5861481D" w:rsidR="00C468D3" w:rsidRDefault="0098371A" w:rsidP="00603E84">
      <w:pPr>
        <w:pStyle w:val="BodyText"/>
        <w:numPr>
          <w:ilvl w:val="0"/>
          <w:numId w:val="55"/>
        </w:numPr>
      </w:pPr>
      <w:r w:rsidRPr="00933303">
        <w:t>Private Ancillary Funds</w:t>
      </w:r>
      <w:r w:rsidR="00F11F66" w:rsidRPr="00933303">
        <w:t xml:space="preserve"> (PAFs)</w:t>
      </w:r>
      <w:r w:rsidRPr="00933303">
        <w:t>, Public Ancillary Funds and Community Foundations make a huge contribution to our society</w:t>
      </w:r>
      <w:r w:rsidR="00367068" w:rsidRPr="00933303">
        <w:t xml:space="preserve">.  For instance, </w:t>
      </w:r>
      <w:r w:rsidR="00B15AA6" w:rsidRPr="00933303">
        <w:t xml:space="preserve">since being established in 2001, PAFs </w:t>
      </w:r>
      <w:r w:rsidR="009820AF" w:rsidRPr="00933303">
        <w:t xml:space="preserve">have </w:t>
      </w:r>
      <w:r w:rsidR="003E3A95" w:rsidRPr="00933303">
        <w:t>built</w:t>
      </w:r>
      <w:r w:rsidR="009820AF" w:rsidRPr="00933303">
        <w:t xml:space="preserve"> $11.</w:t>
      </w:r>
      <w:r w:rsidR="008C0CD2" w:rsidRPr="00933303">
        <w:t xml:space="preserve">6 billion in net assets and </w:t>
      </w:r>
      <w:r w:rsidR="00B15AA6" w:rsidRPr="00933303">
        <w:t>distributed over $5.2 billion</w:t>
      </w:r>
      <w:r w:rsidR="00D37C8E" w:rsidRPr="00933303">
        <w:t xml:space="preserve">, including </w:t>
      </w:r>
      <w:r w:rsidR="00B15AA6" w:rsidRPr="00933303">
        <w:t>$511m in 2020-21.</w:t>
      </w:r>
    </w:p>
    <w:p w14:paraId="2C30D1A4" w14:textId="1A513BD0" w:rsidR="001E2ACF" w:rsidRPr="00933303" w:rsidRDefault="001E2ACF" w:rsidP="00A44A01">
      <w:pPr>
        <w:pStyle w:val="BodyText"/>
        <w:numPr>
          <w:ilvl w:val="0"/>
          <w:numId w:val="55"/>
        </w:numPr>
      </w:pPr>
      <w:r w:rsidRPr="002E73DB">
        <w:rPr>
          <w:spacing w:val="-4"/>
        </w:rPr>
        <w:t>Giving into private and public ancillary funds has grown both in value (from $692 million in 2011-12 to $2.4 billion in 2020-21) and as a share of giving by individuals (donations to private ancillary funds have grown from 15% to 27% of individual giving). As a result, ancillary funds have accumulated a pool of net assets that has grown from $4.6 billion in 2011-12 to $16.4 billion in 2020-21.</w:t>
      </w:r>
    </w:p>
    <w:p w14:paraId="19C204ED" w14:textId="2A054A76" w:rsidR="00AE4C55" w:rsidRPr="00933303" w:rsidRDefault="001F17E3" w:rsidP="00603E84">
      <w:pPr>
        <w:pStyle w:val="BodyText"/>
        <w:numPr>
          <w:ilvl w:val="1"/>
          <w:numId w:val="53"/>
        </w:numPr>
        <w:ind w:left="709"/>
      </w:pPr>
      <w:r w:rsidRPr="00933303">
        <w:t xml:space="preserve">Philanthropy is critical to creating a fairer, more equal Australia.  </w:t>
      </w:r>
      <w:r w:rsidR="00AE4C55" w:rsidRPr="00933303">
        <w:t xml:space="preserve">Wealth is rising rapidly in Australia.  Among the Top 200, it has risen from $209 billion to $563 billion between 2016 and 2023.  </w:t>
      </w:r>
      <w:r w:rsidR="00E63D60" w:rsidRPr="00933303">
        <w:t>A stronger philanthropic culture is critical to ensuring wealth and opportunity are more evenly shared in Australia</w:t>
      </w:r>
      <w:r w:rsidR="00BB71D3" w:rsidRPr="00933303">
        <w:t xml:space="preserve">, with those more fortunately placed </w:t>
      </w:r>
      <w:r w:rsidR="00010976" w:rsidRPr="00933303">
        <w:t xml:space="preserve">sharing much of their wealth to support </w:t>
      </w:r>
      <w:r w:rsidR="00D10645" w:rsidRPr="00933303">
        <w:t>Australians in greatest need.</w:t>
      </w:r>
    </w:p>
    <w:p w14:paraId="786360B6" w14:textId="77777777" w:rsidR="001A1BD0" w:rsidRPr="00933303" w:rsidRDefault="001A1BD0" w:rsidP="00603E84">
      <w:pPr>
        <w:pStyle w:val="BodyText"/>
        <w:numPr>
          <w:ilvl w:val="1"/>
          <w:numId w:val="53"/>
        </w:numPr>
        <w:ind w:left="709"/>
      </w:pPr>
      <w:r w:rsidRPr="00933303">
        <w:rPr>
          <w:rFonts w:eastAsia="Calibri"/>
        </w:rPr>
        <w:t xml:space="preserve">Giving doesn’t just deliver better outcomes for millions of people.  It also leads to a more generous and giving culture, where we focus on serving each other, being active in the community, and working to ensure no one is left behind. </w:t>
      </w:r>
    </w:p>
    <w:p w14:paraId="54C0F990" w14:textId="5AE78E34" w:rsidR="002B3009" w:rsidRPr="00933303" w:rsidRDefault="002575B5" w:rsidP="00603E84">
      <w:pPr>
        <w:pStyle w:val="BodyText"/>
        <w:numPr>
          <w:ilvl w:val="0"/>
          <w:numId w:val="53"/>
        </w:numPr>
      </w:pPr>
      <w:r w:rsidRPr="00933303">
        <w:t xml:space="preserve">Giving by Australians </w:t>
      </w:r>
      <w:r w:rsidR="00314CFA" w:rsidRPr="00933303">
        <w:t>– including by p</w:t>
      </w:r>
      <w:r w:rsidR="00405C06" w:rsidRPr="00933303">
        <w:t>hilanthropic or ‘funding’ charities</w:t>
      </w:r>
      <w:r w:rsidR="00314CFA" w:rsidRPr="00933303">
        <w:t xml:space="preserve"> - is</w:t>
      </w:r>
      <w:r w:rsidR="00405C06" w:rsidRPr="00933303">
        <w:t xml:space="preserve"> crucial to the success of </w:t>
      </w:r>
      <w:r w:rsidR="0022442F" w:rsidRPr="00933303">
        <w:t>‘doing’ charities.</w:t>
      </w:r>
    </w:p>
    <w:p w14:paraId="3726F8AE" w14:textId="311EA70C" w:rsidR="00C8208B" w:rsidRPr="00933303" w:rsidRDefault="00314CFA" w:rsidP="008C0CD2">
      <w:pPr>
        <w:pStyle w:val="BodyText"/>
        <w:numPr>
          <w:ilvl w:val="0"/>
          <w:numId w:val="25"/>
        </w:numPr>
      </w:pPr>
      <w:r w:rsidRPr="00933303">
        <w:t xml:space="preserve">More than $13 billion </w:t>
      </w:r>
      <w:r w:rsidR="00E9324A">
        <w:t xml:space="preserve">per year </w:t>
      </w:r>
      <w:r w:rsidRPr="00933303">
        <w:t xml:space="preserve">is donated to </w:t>
      </w:r>
      <w:r w:rsidR="00C8208B" w:rsidRPr="00933303">
        <w:t xml:space="preserve">charities, with </w:t>
      </w:r>
      <w:r w:rsidR="00702F29" w:rsidRPr="00933303">
        <w:t>government plans</w:t>
      </w:r>
      <w:r w:rsidR="00C8208B" w:rsidRPr="00933303">
        <w:t xml:space="preserve"> to double this by 2030.</w:t>
      </w:r>
    </w:p>
    <w:p w14:paraId="1F4781F0" w14:textId="2769760F" w:rsidR="0022442F" w:rsidRPr="00933303" w:rsidRDefault="00C8208B" w:rsidP="008C0CD2">
      <w:pPr>
        <w:pStyle w:val="BodyText"/>
        <w:numPr>
          <w:ilvl w:val="0"/>
          <w:numId w:val="25"/>
        </w:numPr>
      </w:pPr>
      <w:r w:rsidRPr="00933303">
        <w:t>Many charities can only operate through philanthropic support</w:t>
      </w:r>
      <w:r w:rsidR="003E060B" w:rsidRPr="00933303">
        <w:t xml:space="preserve"> - </w:t>
      </w:r>
      <w:r w:rsidR="00906DB6" w:rsidRPr="00933303">
        <w:t>around 55 per cent of charities receive no government funding.</w:t>
      </w:r>
    </w:p>
    <w:p w14:paraId="02D9FEB8" w14:textId="7CFCF9AB" w:rsidR="003E060B" w:rsidRPr="00933303" w:rsidRDefault="003E060B" w:rsidP="008C0CD2">
      <w:pPr>
        <w:pStyle w:val="BodyText"/>
        <w:numPr>
          <w:ilvl w:val="0"/>
          <w:numId w:val="25"/>
        </w:numPr>
      </w:pPr>
      <w:r w:rsidRPr="00933303">
        <w:t>Philanthropy often supplies funding not available elsewhere – such as to trial social innovation</w:t>
      </w:r>
      <w:r w:rsidR="00596A94" w:rsidRPr="00933303">
        <w:t xml:space="preserve">, or to provide funding to charities at times of financial crisis, enabling them to </w:t>
      </w:r>
      <w:r w:rsidR="00F61860" w:rsidRPr="00933303">
        <w:t>continue their important work</w:t>
      </w:r>
      <w:r w:rsidR="001B5B2A" w:rsidRPr="00933303">
        <w:t>.</w:t>
      </w:r>
    </w:p>
    <w:bookmarkEnd w:id="1"/>
    <w:bookmarkEnd w:id="2"/>
    <w:p w14:paraId="51A80D11" w14:textId="39DAC3E7" w:rsidR="00B9415D" w:rsidRPr="00933303" w:rsidRDefault="00EF1591" w:rsidP="00603E84">
      <w:pPr>
        <w:pStyle w:val="BodyText"/>
        <w:numPr>
          <w:ilvl w:val="0"/>
          <w:numId w:val="54"/>
        </w:numPr>
        <w:ind w:left="357" w:hanging="357"/>
      </w:pPr>
      <w:r w:rsidRPr="00933303">
        <w:t>It makes sense to recommend reforms to lift giving</w:t>
      </w:r>
      <w:r w:rsidR="006F7219" w:rsidRPr="00933303">
        <w:t xml:space="preserve"> in the Charity Blueprint process</w:t>
      </w:r>
      <w:r w:rsidR="00CF5C25" w:rsidRPr="00933303">
        <w:t xml:space="preserve">, as we have a mammoth but likely rare opportunity </w:t>
      </w:r>
      <w:r w:rsidR="006F7219" w:rsidRPr="00933303">
        <w:t>to leverage major reforms to lift giving - t</w:t>
      </w:r>
      <w:r w:rsidR="00A044AD" w:rsidRPr="00933303">
        <w:t>he Government has pledged to develop a strategy to double giving to charity by 2030</w:t>
      </w:r>
      <w:r w:rsidR="00B05F55" w:rsidRPr="00933303">
        <w:t>.</w:t>
      </w:r>
    </w:p>
    <w:p w14:paraId="10349159" w14:textId="1E8EDAF4" w:rsidR="00D04C65" w:rsidRPr="00933303" w:rsidRDefault="00B00E8D" w:rsidP="009206C4">
      <w:pPr>
        <w:pStyle w:val="Heading1NoNumbering"/>
        <w:rPr>
          <w:rFonts w:asciiTheme="minorHAnsi" w:hAnsiTheme="minorHAnsi"/>
        </w:rPr>
      </w:pPr>
      <w:bookmarkStart w:id="5" w:name="_Toc153841127"/>
      <w:r w:rsidRPr="00933303">
        <w:rPr>
          <w:rFonts w:asciiTheme="minorHAnsi" w:hAnsiTheme="minorHAnsi"/>
        </w:rPr>
        <w:lastRenderedPageBreak/>
        <w:t xml:space="preserve">Seven High Priority </w:t>
      </w:r>
      <w:r w:rsidR="00260607" w:rsidRPr="00933303">
        <w:rPr>
          <w:rFonts w:asciiTheme="minorHAnsi" w:hAnsiTheme="minorHAnsi"/>
        </w:rPr>
        <w:t>Policy Recommendations</w:t>
      </w:r>
      <w:bookmarkEnd w:id="5"/>
    </w:p>
    <w:p w14:paraId="526DE069" w14:textId="5B064CEB" w:rsidR="00B7170E" w:rsidRPr="00933303" w:rsidRDefault="00D812FB" w:rsidP="00B7170E">
      <w:pPr>
        <w:pStyle w:val="BodyText"/>
      </w:pPr>
      <w:r w:rsidRPr="00933303">
        <w:t>This submission seeks to outline a small number of the highest priority reforms sought by the philanthropic sector</w:t>
      </w:r>
      <w:r w:rsidR="00357692" w:rsidRPr="00933303">
        <w:t xml:space="preserve">.  </w:t>
      </w:r>
      <w:r w:rsidR="00C0470A" w:rsidRPr="00933303">
        <w:t>We’ve kept the submission brief</w:t>
      </w:r>
      <w:r w:rsidR="005E439C" w:rsidRPr="00933303">
        <w:t xml:space="preserve"> to position you to consider this agenda </w:t>
      </w:r>
      <w:r w:rsidR="00F21A3E" w:rsidRPr="00933303">
        <w:t>in a time efficient manner.</w:t>
      </w:r>
      <w:r w:rsidR="000E7B6C" w:rsidRPr="00933303">
        <w:t xml:space="preserve"> </w:t>
      </w:r>
      <w:r w:rsidR="00F21A3E" w:rsidRPr="00933303">
        <w:t xml:space="preserve"> </w:t>
      </w:r>
      <w:r w:rsidR="00357692" w:rsidRPr="00933303">
        <w:t xml:space="preserve">Greater detail on </w:t>
      </w:r>
      <w:r w:rsidR="00F21A3E" w:rsidRPr="00933303">
        <w:t xml:space="preserve">all of </w:t>
      </w:r>
      <w:r w:rsidR="00357692" w:rsidRPr="00933303">
        <w:t xml:space="preserve">these reforms – and a suite of </w:t>
      </w:r>
      <w:r w:rsidR="00F21A3E" w:rsidRPr="00933303">
        <w:t xml:space="preserve">additional reforms that could be considered – are available </w:t>
      </w:r>
      <w:r w:rsidR="008800BD" w:rsidRPr="00933303">
        <w:t xml:space="preserve">in Philanthropy Australia’s </w:t>
      </w:r>
      <w:r w:rsidR="008800BD" w:rsidRPr="00933303">
        <w:rPr>
          <w:b/>
          <w:bCs/>
          <w:i/>
          <w:iCs/>
        </w:rPr>
        <w:t xml:space="preserve">A Strategy to Double Giving by </w:t>
      </w:r>
      <w:r w:rsidR="00F37E84" w:rsidRPr="00933303">
        <w:rPr>
          <w:b/>
          <w:bCs/>
          <w:i/>
          <w:iCs/>
        </w:rPr>
        <w:t>2030</w:t>
      </w:r>
      <w:r w:rsidR="00F37E84" w:rsidRPr="00933303">
        <w:t xml:space="preserve">, our submission to the Productivity Commission, available </w:t>
      </w:r>
      <w:hyperlink r:id="rId17" w:history="1">
        <w:r w:rsidR="00F37E84" w:rsidRPr="00933303">
          <w:rPr>
            <w:rStyle w:val="Hyperlink"/>
          </w:rPr>
          <w:t>here.</w:t>
        </w:r>
      </w:hyperlink>
    </w:p>
    <w:p w14:paraId="4FCD5DC4" w14:textId="7324BBB2" w:rsidR="005508AE" w:rsidRPr="00933303" w:rsidRDefault="005508AE" w:rsidP="0093465B">
      <w:pPr>
        <w:pStyle w:val="Heading2NoNumbering"/>
        <w:numPr>
          <w:ilvl w:val="0"/>
          <w:numId w:val="23"/>
        </w:numPr>
        <w:rPr>
          <w:rFonts w:asciiTheme="minorHAnsi" w:hAnsiTheme="minorHAnsi"/>
        </w:rPr>
      </w:pPr>
      <w:bookmarkStart w:id="6" w:name="_Toc153841128"/>
      <w:r w:rsidRPr="00933303">
        <w:rPr>
          <w:rFonts w:asciiTheme="minorHAnsi" w:hAnsiTheme="minorHAnsi"/>
        </w:rPr>
        <w:t>Super bequests</w:t>
      </w:r>
      <w:bookmarkEnd w:id="6"/>
    </w:p>
    <w:p w14:paraId="21A150CC" w14:textId="2F2A2D54" w:rsidR="009729DD" w:rsidRPr="00933303" w:rsidRDefault="00EA05B5" w:rsidP="00EA05B5">
      <w:pPr>
        <w:pStyle w:val="Heading4"/>
        <w:shd w:val="clear" w:color="auto" w:fill="E3F5FA" w:themeFill="accent2" w:themeFillTint="33"/>
        <w:rPr>
          <w:rFonts w:asciiTheme="minorHAnsi" w:hAnsiTheme="minorHAnsi"/>
        </w:rPr>
      </w:pPr>
      <w:r w:rsidRPr="00933303">
        <w:rPr>
          <w:rFonts w:asciiTheme="minorHAnsi" w:hAnsiTheme="minorHAnsi"/>
        </w:rPr>
        <w:t>The Reform</w:t>
      </w:r>
    </w:p>
    <w:p w14:paraId="07C7CA9B" w14:textId="3A098B9C" w:rsidR="00634841" w:rsidRPr="00933303" w:rsidRDefault="006A30DA" w:rsidP="00EA05B5">
      <w:pPr>
        <w:shd w:val="clear" w:color="auto" w:fill="E3F5FA" w:themeFill="accent2" w:themeFillTint="33"/>
      </w:pPr>
      <w:r w:rsidRPr="00933303">
        <w:t>The Federal Government</w:t>
      </w:r>
      <w:r w:rsidR="00522C0A" w:rsidRPr="00933303">
        <w:t>:</w:t>
      </w:r>
    </w:p>
    <w:p w14:paraId="4AD4479E" w14:textId="04A4C3C6" w:rsidR="006A30DA" w:rsidRPr="00933303" w:rsidRDefault="0004428F" w:rsidP="00603E84">
      <w:pPr>
        <w:pStyle w:val="ListParagraph"/>
        <w:numPr>
          <w:ilvl w:val="0"/>
          <w:numId w:val="42"/>
        </w:numPr>
        <w:shd w:val="clear" w:color="auto" w:fill="E3F5FA" w:themeFill="accent2" w:themeFillTint="33"/>
        <w:rPr>
          <w:rFonts w:asciiTheme="minorHAnsi" w:hAnsiTheme="minorHAnsi"/>
          <w:sz w:val="20"/>
        </w:rPr>
      </w:pPr>
      <w:r w:rsidRPr="00933303">
        <w:rPr>
          <w:rFonts w:asciiTheme="minorHAnsi" w:hAnsiTheme="minorHAnsi"/>
          <w:b/>
          <w:bCs/>
          <w:sz w:val="20"/>
          <w:lang w:val="en-AU"/>
        </w:rPr>
        <w:t>Give Australians the choice to make a bequest through super</w:t>
      </w:r>
      <w:r w:rsidRPr="00933303">
        <w:rPr>
          <w:rFonts w:asciiTheme="minorHAnsi" w:hAnsiTheme="minorHAnsi"/>
          <w:sz w:val="20"/>
          <w:lang w:val="en-AU"/>
        </w:rPr>
        <w:t>:</w:t>
      </w:r>
      <w:r w:rsidRPr="00933303">
        <w:rPr>
          <w:rFonts w:asciiTheme="minorHAnsi" w:hAnsiTheme="minorHAnsi"/>
          <w:bCs/>
          <w:sz w:val="20"/>
          <w:lang w:val="en-AU"/>
        </w:rPr>
        <w:t xml:space="preserve"> </w:t>
      </w:r>
      <w:r w:rsidR="001B2623" w:rsidRPr="00933303">
        <w:rPr>
          <w:rFonts w:asciiTheme="minorHAnsi" w:hAnsiTheme="minorHAnsi"/>
          <w:bCs/>
          <w:sz w:val="20"/>
        </w:rPr>
        <w:t xml:space="preserve">Allow Australians to bequest some of their unspent superannuation funds (funds remaining when people pass away) to a nominated charity, through an instruction to their superannuation fund </w:t>
      </w:r>
      <w:r w:rsidR="00634841" w:rsidRPr="00933303">
        <w:rPr>
          <w:rFonts w:asciiTheme="minorHAnsi" w:hAnsiTheme="minorHAnsi"/>
          <w:sz w:val="20"/>
        </w:rPr>
        <w:t xml:space="preserve">(rather than having to follow a complicated legal process including </w:t>
      </w:r>
      <w:r w:rsidR="00607E44" w:rsidRPr="00933303">
        <w:rPr>
          <w:rFonts w:asciiTheme="minorHAnsi" w:hAnsiTheme="minorHAnsi"/>
          <w:sz w:val="20"/>
        </w:rPr>
        <w:t>the need to leav</w:t>
      </w:r>
      <w:r w:rsidR="00D51C1A" w:rsidRPr="00933303">
        <w:rPr>
          <w:rFonts w:asciiTheme="minorHAnsi" w:hAnsiTheme="minorHAnsi"/>
          <w:sz w:val="20"/>
        </w:rPr>
        <w:t>e</w:t>
      </w:r>
      <w:r w:rsidR="00607E44" w:rsidRPr="00933303">
        <w:rPr>
          <w:rFonts w:asciiTheme="minorHAnsi" w:hAnsiTheme="minorHAnsi"/>
          <w:sz w:val="20"/>
        </w:rPr>
        <w:t xml:space="preserve"> </w:t>
      </w:r>
      <w:r w:rsidR="00A8038B" w:rsidRPr="00933303">
        <w:rPr>
          <w:rFonts w:asciiTheme="minorHAnsi" w:hAnsiTheme="minorHAnsi"/>
          <w:sz w:val="20"/>
        </w:rPr>
        <w:t xml:space="preserve">instructions </w:t>
      </w:r>
      <w:r w:rsidR="00607E44" w:rsidRPr="00933303">
        <w:rPr>
          <w:rFonts w:asciiTheme="minorHAnsi" w:hAnsiTheme="minorHAnsi"/>
          <w:sz w:val="20"/>
        </w:rPr>
        <w:t>in</w:t>
      </w:r>
      <w:r w:rsidR="00A8038B" w:rsidRPr="00933303">
        <w:rPr>
          <w:rFonts w:asciiTheme="minorHAnsi" w:hAnsiTheme="minorHAnsi"/>
          <w:sz w:val="20"/>
        </w:rPr>
        <w:t xml:space="preserve"> their will).</w:t>
      </w:r>
    </w:p>
    <w:p w14:paraId="20D1B944" w14:textId="4B90A862" w:rsidR="00607E44" w:rsidRPr="00933303" w:rsidRDefault="006227C2" w:rsidP="00603E84">
      <w:pPr>
        <w:pStyle w:val="ListParagraph"/>
        <w:numPr>
          <w:ilvl w:val="0"/>
          <w:numId w:val="42"/>
        </w:numPr>
        <w:shd w:val="clear" w:color="auto" w:fill="E3F5FA" w:themeFill="accent2" w:themeFillTint="33"/>
        <w:rPr>
          <w:rFonts w:asciiTheme="minorHAnsi" w:hAnsiTheme="minorHAnsi"/>
          <w:sz w:val="20"/>
        </w:rPr>
      </w:pPr>
      <w:r w:rsidRPr="00933303">
        <w:rPr>
          <w:rFonts w:asciiTheme="minorHAnsi" w:hAnsiTheme="minorHAnsi"/>
          <w:b/>
          <w:bCs/>
          <w:sz w:val="20"/>
        </w:rPr>
        <w:t>Proceed only after consultation with the superannuation industry.</w:t>
      </w:r>
      <w:r w:rsidRPr="00933303">
        <w:rPr>
          <w:rFonts w:asciiTheme="minorHAnsi" w:hAnsiTheme="minorHAnsi"/>
          <w:sz w:val="20"/>
        </w:rPr>
        <w:t xml:space="preserve"> </w:t>
      </w:r>
      <w:r w:rsidR="00BF1031" w:rsidRPr="00933303">
        <w:rPr>
          <w:rFonts w:asciiTheme="minorHAnsi" w:hAnsiTheme="minorHAnsi"/>
          <w:sz w:val="20"/>
        </w:rPr>
        <w:t>The Federal Government</w:t>
      </w:r>
      <w:r w:rsidR="00EA05B5" w:rsidRPr="00933303">
        <w:rPr>
          <w:rFonts w:asciiTheme="minorHAnsi" w:hAnsiTheme="minorHAnsi"/>
          <w:sz w:val="20"/>
        </w:rPr>
        <w:t xml:space="preserve"> should</w:t>
      </w:r>
      <w:r w:rsidR="00BF1031" w:rsidRPr="00933303">
        <w:rPr>
          <w:rFonts w:asciiTheme="minorHAnsi" w:hAnsiTheme="minorHAnsi"/>
          <w:sz w:val="20"/>
        </w:rPr>
        <w:t xml:space="preserve"> engage the superannuation industry to </w:t>
      </w:r>
      <w:r w:rsidR="00AE2D1D" w:rsidRPr="00933303">
        <w:rPr>
          <w:rFonts w:asciiTheme="minorHAnsi" w:hAnsiTheme="minorHAnsi"/>
          <w:sz w:val="20"/>
        </w:rPr>
        <w:t>discuss s</w:t>
      </w:r>
      <w:r w:rsidR="003453A8" w:rsidRPr="00933303">
        <w:rPr>
          <w:rFonts w:asciiTheme="minorHAnsi" w:hAnsiTheme="minorHAnsi"/>
          <w:sz w:val="20"/>
        </w:rPr>
        <w:t>uper bequest reform and seek</w:t>
      </w:r>
      <w:r w:rsidR="00AE2D1D" w:rsidRPr="00933303">
        <w:rPr>
          <w:rFonts w:asciiTheme="minorHAnsi" w:hAnsiTheme="minorHAnsi"/>
          <w:sz w:val="20"/>
        </w:rPr>
        <w:t xml:space="preserve"> their input prior to the reform being implemented.</w:t>
      </w:r>
    </w:p>
    <w:p w14:paraId="59C38E8B" w14:textId="5CF59320" w:rsidR="00522C0A" w:rsidRPr="00933303" w:rsidRDefault="00DC4993" w:rsidP="00F97436">
      <w:pPr>
        <w:pStyle w:val="Heading4"/>
        <w:spacing w:before="120"/>
        <w:rPr>
          <w:rFonts w:asciiTheme="minorHAnsi" w:hAnsiTheme="minorHAnsi"/>
        </w:rPr>
      </w:pPr>
      <w:r w:rsidRPr="00933303">
        <w:rPr>
          <w:rFonts w:asciiTheme="minorHAnsi" w:hAnsiTheme="minorHAnsi"/>
        </w:rPr>
        <w:t xml:space="preserve">The </w:t>
      </w:r>
      <w:r w:rsidR="00136085" w:rsidRPr="00933303">
        <w:rPr>
          <w:rFonts w:asciiTheme="minorHAnsi" w:hAnsiTheme="minorHAnsi"/>
        </w:rPr>
        <w:t>Case for Reform</w:t>
      </w:r>
    </w:p>
    <w:p w14:paraId="2CB057E3" w14:textId="5EDC2284" w:rsidR="0032285A" w:rsidRPr="00933303" w:rsidRDefault="00556D85" w:rsidP="0093465B">
      <w:pPr>
        <w:pStyle w:val="ListNumber"/>
        <w:numPr>
          <w:ilvl w:val="0"/>
          <w:numId w:val="26"/>
        </w:numPr>
      </w:pPr>
      <w:r w:rsidRPr="00933303">
        <w:t>Hundreds of</w:t>
      </w:r>
      <w:r w:rsidR="0032285A" w:rsidRPr="00933303">
        <w:t xml:space="preserve"> billions for </w:t>
      </w:r>
      <w:r w:rsidRPr="00933303">
        <w:t xml:space="preserve">charity to support </w:t>
      </w:r>
      <w:r w:rsidR="0032285A" w:rsidRPr="00933303">
        <w:t>Australians in greatest need.</w:t>
      </w:r>
    </w:p>
    <w:p w14:paraId="2F9E0143" w14:textId="79859303" w:rsidR="002931D7" w:rsidRPr="00933303" w:rsidRDefault="0032285A" w:rsidP="00603E84">
      <w:pPr>
        <w:pStyle w:val="ListNumber2"/>
        <w:numPr>
          <w:ilvl w:val="0"/>
          <w:numId w:val="38"/>
        </w:numPr>
      </w:pPr>
      <w:r w:rsidRPr="00933303">
        <w:t xml:space="preserve">Treasury in its </w:t>
      </w:r>
      <w:r w:rsidRPr="00933303">
        <w:rPr>
          <w:i/>
        </w:rPr>
        <w:t>Retirement Income Review</w:t>
      </w:r>
      <w:r w:rsidRPr="00933303">
        <w:t xml:space="preserve"> (July 2020) forecast superannuation balances at death will increase from $17 billion in 2019 to $130 billion by 2059 in 2018-19 dollars</w:t>
      </w:r>
      <w:r w:rsidR="009073F4" w:rsidRPr="00933303">
        <w:t>.</w:t>
      </w:r>
      <w:r w:rsidR="0076577E" w:rsidRPr="00933303">
        <w:t xml:space="preserve"> </w:t>
      </w:r>
      <w:r w:rsidR="00A44CFA" w:rsidRPr="00933303">
        <w:t xml:space="preserve"> </w:t>
      </w:r>
      <w:r w:rsidR="002931D7" w:rsidRPr="00933303">
        <w:t xml:space="preserve">If just a modest proportion goes to charity, it will amount to hundreds of </w:t>
      </w:r>
      <w:r w:rsidR="00A44CFA" w:rsidRPr="00933303">
        <w:t>b</w:t>
      </w:r>
      <w:r w:rsidR="002931D7" w:rsidRPr="00933303">
        <w:t>illions over the 21</w:t>
      </w:r>
      <w:r w:rsidR="002931D7" w:rsidRPr="00933303">
        <w:rPr>
          <w:vertAlign w:val="superscript"/>
        </w:rPr>
        <w:t>st</w:t>
      </w:r>
      <w:r w:rsidR="002931D7" w:rsidRPr="00933303">
        <w:t xml:space="preserve"> century.</w:t>
      </w:r>
    </w:p>
    <w:p w14:paraId="6E5B40EB" w14:textId="77777777" w:rsidR="005B50E0" w:rsidRPr="00933303" w:rsidRDefault="00325AAF" w:rsidP="00603E84">
      <w:pPr>
        <w:pStyle w:val="ListNumber2"/>
        <w:numPr>
          <w:ilvl w:val="0"/>
          <w:numId w:val="38"/>
        </w:numPr>
      </w:pPr>
      <w:r w:rsidRPr="00933303">
        <w:rPr>
          <w:lang w:val="en-US"/>
        </w:rPr>
        <w:t>Dr Angela Jackson and Dr Emily Millane from Impact Economics and Policy estimate that:</w:t>
      </w:r>
    </w:p>
    <w:p w14:paraId="399AC810" w14:textId="47B7B9AF" w:rsidR="00325AAF" w:rsidRPr="00933303" w:rsidRDefault="00325AAF" w:rsidP="00D96F6B">
      <w:pPr>
        <w:pStyle w:val="ListNumber3"/>
        <w:ind w:left="680"/>
      </w:pPr>
      <w:r w:rsidRPr="00933303">
        <w:t>Over the period to 2060, the reform could generate between $64.6 and $260.3 billion in additional income for charities.</w:t>
      </w:r>
    </w:p>
    <w:p w14:paraId="11C08091" w14:textId="3FF0BCBA" w:rsidR="00325AAF" w:rsidRPr="00933303" w:rsidRDefault="00325AAF" w:rsidP="0093465B">
      <w:pPr>
        <w:pStyle w:val="ListNumber3"/>
        <w:numPr>
          <w:ilvl w:val="2"/>
          <w:numId w:val="27"/>
        </w:numPr>
        <w:ind w:left="680"/>
      </w:pPr>
      <w:r w:rsidRPr="00933303">
        <w:rPr>
          <w:bCs/>
        </w:rPr>
        <w:t>Australians donated $13.4 billion to charity in 2021.  The new modelling indicates that in the year 2060 alone, the reforms would yield between $4.8 and $21.9 billion for charity.</w:t>
      </w:r>
      <w:r w:rsidR="005B50E0" w:rsidRPr="00933303">
        <w:rPr>
          <w:bCs/>
        </w:rPr>
        <w:t xml:space="preserve">  For more detail, see their full report, </w:t>
      </w:r>
      <w:hyperlink r:id="rId18" w:history="1">
        <w:r w:rsidRPr="00933303">
          <w:rPr>
            <w:rStyle w:val="Hyperlink"/>
            <w:i/>
            <w:iCs/>
            <w:lang w:val="en-US"/>
          </w:rPr>
          <w:t>Charitable Superannuation Bequests: Making Giving Easy</w:t>
        </w:r>
      </w:hyperlink>
      <w:r w:rsidR="005B50E0" w:rsidRPr="00933303">
        <w:rPr>
          <w:lang w:val="en-US"/>
        </w:rPr>
        <w:t>.</w:t>
      </w:r>
    </w:p>
    <w:p w14:paraId="1886679C" w14:textId="77777777" w:rsidR="003C6D6C" w:rsidRDefault="003C6D6C" w:rsidP="0032285A">
      <w:pPr>
        <w:pStyle w:val="ListNumber"/>
        <w:keepNext/>
      </w:pPr>
      <w:r>
        <w:t xml:space="preserve">Highly cost effective – in fact revenue would </w:t>
      </w:r>
      <w:proofErr w:type="gramStart"/>
      <w:r>
        <w:t>actually rise</w:t>
      </w:r>
      <w:proofErr w:type="gramEnd"/>
      <w:r>
        <w:t>.</w:t>
      </w:r>
    </w:p>
    <w:p w14:paraId="61376B32" w14:textId="0FD8681A" w:rsidR="00476152" w:rsidRDefault="00476152" w:rsidP="00476152">
      <w:pPr>
        <w:pStyle w:val="ListNumber2"/>
        <w:numPr>
          <w:ilvl w:val="0"/>
          <w:numId w:val="33"/>
        </w:numPr>
      </w:pPr>
      <w:r w:rsidRPr="00933303">
        <w:t xml:space="preserve">Bequests are a particularly cost-effective means of charitable giving because donors do not receive a tax break in return for their bequest.  </w:t>
      </w:r>
    </w:p>
    <w:p w14:paraId="4F2AD1ED" w14:textId="77777777" w:rsidR="00D74D29" w:rsidRDefault="006A774E" w:rsidP="00476152">
      <w:pPr>
        <w:pStyle w:val="ListNumber2"/>
        <w:numPr>
          <w:ilvl w:val="0"/>
          <w:numId w:val="33"/>
        </w:numPr>
      </w:pPr>
      <w:r>
        <w:t xml:space="preserve">In fact, </w:t>
      </w:r>
      <w:r w:rsidR="00C203CC">
        <w:t xml:space="preserve">revenue would </w:t>
      </w:r>
      <w:proofErr w:type="gramStart"/>
      <w:r w:rsidR="00C203CC">
        <w:t>actually rise</w:t>
      </w:r>
      <w:proofErr w:type="gramEnd"/>
      <w:r w:rsidR="00C203CC">
        <w:t xml:space="preserve"> through this measure</w:t>
      </w:r>
      <w:r w:rsidR="009B227B">
        <w:t xml:space="preserve">.  </w:t>
      </w:r>
      <w:r w:rsidR="00D74D29">
        <w:t>Money bequested through super is taxed at up to 17 cents in the dollar.</w:t>
      </w:r>
    </w:p>
    <w:p w14:paraId="449B0C56" w14:textId="48FBF8E0" w:rsidR="006A774E" w:rsidRDefault="0056199B" w:rsidP="00D74D29">
      <w:pPr>
        <w:pStyle w:val="ListNumber2"/>
        <w:numPr>
          <w:ilvl w:val="1"/>
          <w:numId w:val="33"/>
        </w:numPr>
        <w:ind w:left="709"/>
      </w:pPr>
      <w:r>
        <w:t xml:space="preserve">Where such bequests partially displaced funds </w:t>
      </w:r>
      <w:r w:rsidR="00351D6D" w:rsidRPr="00933303">
        <w:t xml:space="preserve">otherwise </w:t>
      </w:r>
      <w:r w:rsidR="006500F8">
        <w:t xml:space="preserve">to be </w:t>
      </w:r>
      <w:r w:rsidR="00351D6D" w:rsidRPr="00933303">
        <w:t xml:space="preserve">distributed to non-adult dependents (which are tax free), </w:t>
      </w:r>
      <w:r>
        <w:t>they would create</w:t>
      </w:r>
      <w:r w:rsidR="00351D6D" w:rsidRPr="00933303">
        <w:t xml:space="preserve"> a helpful addition to net government revenue.</w:t>
      </w:r>
    </w:p>
    <w:p w14:paraId="13F46A4C" w14:textId="50296D14" w:rsidR="004730B6" w:rsidRDefault="004730B6" w:rsidP="00D74D29">
      <w:pPr>
        <w:pStyle w:val="ListNumber2"/>
        <w:numPr>
          <w:ilvl w:val="1"/>
          <w:numId w:val="33"/>
        </w:numPr>
        <w:ind w:left="709"/>
      </w:pPr>
      <w:r>
        <w:t xml:space="preserve">Note that where such </w:t>
      </w:r>
      <w:r w:rsidR="006500F8">
        <w:t xml:space="preserve">bequests displaced funds otherwise to be distributed to adult dependents, there would be no impact on revenue, as </w:t>
      </w:r>
      <w:r w:rsidR="00E6727D">
        <w:t>both are taxed at up to 17 cents.</w:t>
      </w:r>
    </w:p>
    <w:p w14:paraId="2C2CA63C" w14:textId="4031D286" w:rsidR="00476152" w:rsidRPr="00933303" w:rsidRDefault="00E6727D" w:rsidP="00164DDF">
      <w:pPr>
        <w:pStyle w:val="ListNumber2"/>
        <w:numPr>
          <w:ilvl w:val="1"/>
          <w:numId w:val="33"/>
        </w:numPr>
        <w:ind w:left="709"/>
      </w:pPr>
      <w:r>
        <w:t xml:space="preserve">Note also that positive impacts on revenue </w:t>
      </w:r>
      <w:r w:rsidR="003D294B">
        <w:t xml:space="preserve">would be limited in the early years, before rising more substantially over the longer term.  </w:t>
      </w:r>
      <w:r w:rsidR="00476152" w:rsidRPr="00933303">
        <w:t xml:space="preserve">As a new idea on the landscape, it will take time for </w:t>
      </w:r>
      <w:r w:rsidR="00561C61">
        <w:t>super bequests</w:t>
      </w:r>
      <w:r w:rsidR="00476152" w:rsidRPr="00933303">
        <w:t xml:space="preserve"> to be marketed to the Australian people, </w:t>
      </w:r>
      <w:proofErr w:type="gramStart"/>
      <w:r w:rsidR="00476152" w:rsidRPr="00933303">
        <w:t>understood</w:t>
      </w:r>
      <w:proofErr w:type="gramEnd"/>
      <w:r w:rsidR="00476152" w:rsidRPr="00933303">
        <w:t xml:space="preserve"> and accepted.  People will then need to decide to make a nomination to charity through their super and of course, funds would only flow to charity when people pass away.</w:t>
      </w:r>
    </w:p>
    <w:p w14:paraId="5FCD29A1" w14:textId="49DBE370" w:rsidR="0032285A" w:rsidRPr="00933303" w:rsidRDefault="0032285A" w:rsidP="0032285A">
      <w:pPr>
        <w:pStyle w:val="ListNumber"/>
        <w:keepNext/>
      </w:pPr>
      <w:r w:rsidRPr="00933303">
        <w:t xml:space="preserve">It’s the people’s money.  They should have the choice about where it goes, and that choice should be made as easy as possible.  </w:t>
      </w:r>
    </w:p>
    <w:p w14:paraId="5CC2EC4A" w14:textId="3707BEA9" w:rsidR="0032285A" w:rsidRPr="00933303" w:rsidRDefault="0032285A" w:rsidP="00603E84">
      <w:pPr>
        <w:pStyle w:val="ListContinue"/>
        <w:numPr>
          <w:ilvl w:val="0"/>
          <w:numId w:val="31"/>
        </w:numPr>
        <w:rPr>
          <w:rFonts w:eastAsia="MS ??"/>
        </w:rPr>
      </w:pPr>
      <w:r w:rsidRPr="00933303">
        <w:rPr>
          <w:rFonts w:eastAsia="MS ??"/>
        </w:rPr>
        <w:t xml:space="preserve">Government legislation preventing people from giving money to charity through super bequests is an excessive restriction on the ability of people to use their </w:t>
      </w:r>
      <w:r w:rsidR="00011600" w:rsidRPr="00933303">
        <w:rPr>
          <w:rFonts w:eastAsia="MS ??"/>
        </w:rPr>
        <w:t xml:space="preserve">own </w:t>
      </w:r>
      <w:r w:rsidRPr="00933303">
        <w:rPr>
          <w:rFonts w:eastAsia="MS ??"/>
        </w:rPr>
        <w:t>money as they wish and</w:t>
      </w:r>
      <w:proofErr w:type="gramStart"/>
      <w:r w:rsidRPr="00933303">
        <w:rPr>
          <w:rFonts w:eastAsia="MS ??"/>
        </w:rPr>
        <w:t xml:space="preserve">, in </w:t>
      </w:r>
      <w:r w:rsidRPr="00933303">
        <w:rPr>
          <w:rFonts w:eastAsia="MS ??"/>
        </w:rPr>
        <w:lastRenderedPageBreak/>
        <w:t>particular, to</w:t>
      </w:r>
      <w:proofErr w:type="gramEnd"/>
      <w:r w:rsidRPr="00933303">
        <w:rPr>
          <w:rFonts w:eastAsia="MS ??"/>
        </w:rPr>
        <w:t xml:space="preserve"> contribute positively to society.  </w:t>
      </w:r>
      <w:proofErr w:type="gramStart"/>
      <w:r w:rsidRPr="00933303">
        <w:rPr>
          <w:rFonts w:eastAsia="MS ??"/>
        </w:rPr>
        <w:t>In order to</w:t>
      </w:r>
      <w:proofErr w:type="gramEnd"/>
      <w:r w:rsidRPr="00933303">
        <w:rPr>
          <w:rFonts w:eastAsia="MS ??"/>
        </w:rPr>
        <w:t xml:space="preserve"> maximise choice and take up, this choice should be made as simple as possible, available through each person’s super fund.</w:t>
      </w:r>
    </w:p>
    <w:p w14:paraId="33F8F22C" w14:textId="77777777" w:rsidR="0032285A" w:rsidRPr="00933303" w:rsidRDefault="0032285A" w:rsidP="0032285A">
      <w:pPr>
        <w:pStyle w:val="ListNumber"/>
        <w:keepNext/>
      </w:pPr>
      <w:r w:rsidRPr="00933303">
        <w:t>Spreading wealth and opportunity to all Australians</w:t>
      </w:r>
    </w:p>
    <w:p w14:paraId="50211E5C" w14:textId="2B771684" w:rsidR="00500AA5" w:rsidRPr="00933303" w:rsidRDefault="00AD304C" w:rsidP="00603E84">
      <w:pPr>
        <w:pStyle w:val="ListNumber2"/>
        <w:numPr>
          <w:ilvl w:val="0"/>
          <w:numId w:val="32"/>
        </w:numPr>
      </w:pPr>
      <w:r w:rsidRPr="00933303">
        <w:t>Australia has a large amount of its wealth in superannuation assets, which are north of $3 trillion and rising rapidly.</w:t>
      </w:r>
    </w:p>
    <w:p w14:paraId="23142380" w14:textId="72A4C1C9" w:rsidR="0042657E" w:rsidRPr="00933303" w:rsidRDefault="0032285A" w:rsidP="00603E84">
      <w:pPr>
        <w:pStyle w:val="ListNumber2"/>
        <w:numPr>
          <w:ilvl w:val="0"/>
          <w:numId w:val="32"/>
        </w:numPr>
      </w:pPr>
      <w:r w:rsidRPr="00933303">
        <w:t>Wealth among the Top 200 has increased from $209 billion in 2016 to $5</w:t>
      </w:r>
      <w:r w:rsidR="00FD61B9" w:rsidRPr="00933303">
        <w:t>63</w:t>
      </w:r>
      <w:r w:rsidRPr="00933303">
        <w:t xml:space="preserve"> billion in 202</w:t>
      </w:r>
      <w:r w:rsidR="00FD61B9" w:rsidRPr="00933303">
        <w:t>3</w:t>
      </w:r>
      <w:r w:rsidRPr="00933303">
        <w:t>, or from an average of $1.05 billion in 2016 to $2.</w:t>
      </w:r>
      <w:r w:rsidR="00FD61B9" w:rsidRPr="00933303">
        <w:t>8</w:t>
      </w:r>
      <w:r w:rsidRPr="00933303">
        <w:t xml:space="preserve"> billion in 2021. </w:t>
      </w:r>
      <w:r w:rsidR="0042657E" w:rsidRPr="00933303">
        <w:t>Super bequests can be a</w:t>
      </w:r>
      <w:r w:rsidR="00E917E6" w:rsidRPr="00933303">
        <w:t xml:space="preserve"> crucial</w:t>
      </w:r>
      <w:r w:rsidR="0042657E" w:rsidRPr="00933303">
        <w:t xml:space="preserve"> mechanism transferring funds from Australians fortunately placed to those in greatest need.  </w:t>
      </w:r>
    </w:p>
    <w:p w14:paraId="0786AD40" w14:textId="77777777" w:rsidR="0032285A" w:rsidRPr="00933303" w:rsidRDefault="0032285A" w:rsidP="00D96F6B">
      <w:pPr>
        <w:pStyle w:val="PullOut"/>
        <w:pBdr>
          <w:left w:val="single" w:sz="4" w:space="31" w:color="F5F9FD" w:themeColor="background2"/>
        </w:pBdr>
        <w:ind w:left="360"/>
      </w:pPr>
      <w:r w:rsidRPr="00933303">
        <w:t>As a society, we need to make a clear choice:  Do we wish to see all this wealth pass to future generations, maintaining wealth and privilege for those most fortunately placed, or do we wish to see some of this money used to support Australians in greatest need, so opportunity is more evenly shared in our country?</w:t>
      </w:r>
    </w:p>
    <w:p w14:paraId="22C7B51A" w14:textId="77777777" w:rsidR="0032285A" w:rsidRPr="00933303" w:rsidRDefault="0032285A" w:rsidP="0032285A">
      <w:pPr>
        <w:pStyle w:val="ListNumber"/>
      </w:pPr>
      <w:r w:rsidRPr="00933303">
        <w:t>Significant benefits for the super industry.</w:t>
      </w:r>
    </w:p>
    <w:p w14:paraId="68D9B215" w14:textId="77777777" w:rsidR="0032285A" w:rsidRPr="00933303" w:rsidRDefault="0032285A" w:rsidP="00603E84">
      <w:pPr>
        <w:pStyle w:val="ListNumber2"/>
        <w:numPr>
          <w:ilvl w:val="0"/>
          <w:numId w:val="34"/>
        </w:numPr>
      </w:pPr>
      <w:r w:rsidRPr="00933303">
        <w:rPr>
          <w:b/>
          <w:bCs/>
        </w:rPr>
        <w:t>Creating transformational change</w:t>
      </w:r>
      <w:r w:rsidRPr="00933303">
        <w:t xml:space="preserve"> for Australians in greatest need, through the tens of billions raised.</w:t>
      </w:r>
    </w:p>
    <w:p w14:paraId="0291CF03" w14:textId="02273B6F" w:rsidR="0032285A" w:rsidRPr="00933303" w:rsidRDefault="0032285A" w:rsidP="00603E84">
      <w:pPr>
        <w:pStyle w:val="ListNumber2"/>
        <w:numPr>
          <w:ilvl w:val="0"/>
          <w:numId w:val="34"/>
        </w:numPr>
      </w:pPr>
      <w:r w:rsidRPr="00933303">
        <w:rPr>
          <w:b/>
          <w:bCs/>
        </w:rPr>
        <w:t>Democratising giving:</w:t>
      </w:r>
      <w:r w:rsidRPr="00933303">
        <w:t xml:space="preserve"> Super bequest reform would position all Australians to participate in the joy and pride of giving. </w:t>
      </w:r>
    </w:p>
    <w:p w14:paraId="2EBF517A" w14:textId="361FBF68" w:rsidR="0032285A" w:rsidRPr="00933303" w:rsidRDefault="0032285A" w:rsidP="00603E84">
      <w:pPr>
        <w:pStyle w:val="ListNumber2"/>
        <w:numPr>
          <w:ilvl w:val="0"/>
          <w:numId w:val="34"/>
        </w:numPr>
      </w:pPr>
      <w:r w:rsidRPr="00933303">
        <w:rPr>
          <w:b/>
          <w:bCs/>
        </w:rPr>
        <w:t xml:space="preserve">Competitive advantage for super funds through ESG and market positioning: </w:t>
      </w:r>
      <w:r w:rsidRPr="00933303">
        <w:t xml:space="preserve">First movers in the sector would attract additional business from customers and attract talented staff who feel pride in supporting super funds committed to building a stronger society.  </w:t>
      </w:r>
    </w:p>
    <w:p w14:paraId="109A4D9E" w14:textId="71DEFD0B" w:rsidR="006D4A4B" w:rsidRPr="00933303" w:rsidRDefault="0032285A" w:rsidP="00603E84">
      <w:pPr>
        <w:pStyle w:val="ListNumber2"/>
        <w:numPr>
          <w:ilvl w:val="0"/>
          <w:numId w:val="34"/>
        </w:numPr>
      </w:pPr>
      <w:r w:rsidRPr="00933303">
        <w:rPr>
          <w:b/>
          <w:bCs/>
        </w:rPr>
        <w:t>Increased community support for the sector as a whole:</w:t>
      </w:r>
      <w:r w:rsidRPr="00933303">
        <w:t xml:space="preserve"> The Australian community would warmly welcome the generous work of super funds, helping to strengthen </w:t>
      </w:r>
      <w:r w:rsidR="00FA5436" w:rsidRPr="00933303">
        <w:t xml:space="preserve">their social licence.  </w:t>
      </w:r>
    </w:p>
    <w:p w14:paraId="509A85DE" w14:textId="77777777" w:rsidR="00C9154D" w:rsidRPr="00933303" w:rsidRDefault="00C9154D" w:rsidP="00C9154D">
      <w:pPr>
        <w:pStyle w:val="ListNumber"/>
      </w:pPr>
      <w:r w:rsidRPr="00933303">
        <w:t>No impact on the core purpose of super: providing retirement benefits to members.</w:t>
      </w:r>
    </w:p>
    <w:p w14:paraId="530E643F" w14:textId="77777777" w:rsidR="00C9154D" w:rsidRPr="00933303" w:rsidRDefault="00C9154D" w:rsidP="00D96F6B">
      <w:pPr>
        <w:pStyle w:val="ListBullet"/>
        <w:ind w:left="340"/>
        <w:rPr>
          <w:rFonts w:eastAsia="MS ??"/>
        </w:rPr>
      </w:pPr>
      <w:r w:rsidRPr="00933303">
        <w:rPr>
          <w:rFonts w:eastAsia="MS ??"/>
        </w:rPr>
        <w:t>Superannuation is a crucial system, allowing people to live out their retirement with reasonable incomes.  The super bequest proposal has no impact on retirement incomes as funding would only pass to charity after the person has passed away.</w:t>
      </w:r>
    </w:p>
    <w:p w14:paraId="6A28B37B" w14:textId="77777777" w:rsidR="00C9154D" w:rsidRPr="00933303" w:rsidRDefault="00C9154D" w:rsidP="00C9154D">
      <w:pPr>
        <w:pStyle w:val="ListNumber"/>
      </w:pPr>
      <w:r w:rsidRPr="00933303">
        <w:t>The reform would be well received by the Australian people.</w:t>
      </w:r>
    </w:p>
    <w:p w14:paraId="367A536B" w14:textId="77777777" w:rsidR="00C9154D" w:rsidRPr="00933303" w:rsidRDefault="00C9154D" w:rsidP="00603E84">
      <w:pPr>
        <w:pStyle w:val="ListNumber2"/>
        <w:numPr>
          <w:ilvl w:val="0"/>
          <w:numId w:val="37"/>
        </w:numPr>
      </w:pPr>
      <w:r w:rsidRPr="00933303">
        <w:t>In a poll of more than 2,500 Australians conducted in November 2022, Redbridge found 75 per cent support for the reform, with just 5.8 per cent opposed and 19.2 per cent neutral or not sure.  This was the highest support for any of the reforms tested in the polling.</w:t>
      </w:r>
    </w:p>
    <w:p w14:paraId="327C3151" w14:textId="77777777" w:rsidR="00C9154D" w:rsidRPr="00933303" w:rsidRDefault="00C9154D" w:rsidP="006D4A4B">
      <w:pPr>
        <w:pStyle w:val="BodyText"/>
      </w:pPr>
    </w:p>
    <w:p w14:paraId="0990F997" w14:textId="77777777" w:rsidR="00C9154D" w:rsidRPr="00933303" w:rsidRDefault="00C9154D" w:rsidP="006D4A4B">
      <w:pPr>
        <w:pStyle w:val="BodyText"/>
      </w:pPr>
    </w:p>
    <w:p w14:paraId="4BDA2620" w14:textId="77777777" w:rsidR="00561C61" w:rsidRDefault="00561C61">
      <w:pPr>
        <w:spacing w:before="200" w:after="200" w:line="260" w:lineRule="atLeast"/>
        <w:rPr>
          <w:rFonts w:eastAsiaTheme="majorEastAsia" w:cstheme="majorBidi"/>
          <w:b/>
          <w:bCs/>
          <w:color w:val="3D7EDB" w:themeColor="accent1"/>
          <w:sz w:val="24"/>
          <w:szCs w:val="24"/>
        </w:rPr>
      </w:pPr>
      <w:r>
        <w:br w:type="page"/>
      </w:r>
    </w:p>
    <w:p w14:paraId="64115580" w14:textId="5A60BA5B" w:rsidR="00C9154D" w:rsidRPr="00933303" w:rsidRDefault="00C9154D" w:rsidP="0093465B">
      <w:pPr>
        <w:pStyle w:val="Heading2NoNumbering"/>
        <w:numPr>
          <w:ilvl w:val="0"/>
          <w:numId w:val="26"/>
        </w:numPr>
        <w:rPr>
          <w:rFonts w:asciiTheme="minorHAnsi" w:hAnsiTheme="minorHAnsi"/>
        </w:rPr>
      </w:pPr>
      <w:bookmarkStart w:id="7" w:name="_Toc153841129"/>
      <w:r w:rsidRPr="00933303">
        <w:rPr>
          <w:rFonts w:asciiTheme="minorHAnsi" w:hAnsiTheme="minorHAnsi"/>
        </w:rPr>
        <w:lastRenderedPageBreak/>
        <w:t>DGR for all charities, not just half.</w:t>
      </w:r>
      <w:bookmarkEnd w:id="7"/>
    </w:p>
    <w:p w14:paraId="0C14B8F6" w14:textId="77777777" w:rsidR="00F1693B" w:rsidRPr="00933303" w:rsidRDefault="00F1693B" w:rsidP="00F1693B">
      <w:pPr>
        <w:pStyle w:val="Heading4"/>
        <w:shd w:val="clear" w:color="auto" w:fill="E3F5FA" w:themeFill="accent2" w:themeFillTint="33"/>
        <w:rPr>
          <w:rFonts w:asciiTheme="minorHAnsi" w:hAnsiTheme="minorHAnsi"/>
        </w:rPr>
      </w:pPr>
      <w:r w:rsidRPr="00933303">
        <w:rPr>
          <w:rFonts w:asciiTheme="minorHAnsi" w:hAnsiTheme="minorHAnsi"/>
        </w:rPr>
        <w:t>The Reform</w:t>
      </w:r>
    </w:p>
    <w:p w14:paraId="77C2071C" w14:textId="11542388" w:rsidR="00F1693B" w:rsidRPr="00933303" w:rsidRDefault="00E5542C" w:rsidP="0093465B">
      <w:pPr>
        <w:pStyle w:val="ListParagraph"/>
        <w:numPr>
          <w:ilvl w:val="0"/>
          <w:numId w:val="24"/>
        </w:numPr>
        <w:shd w:val="clear" w:color="auto" w:fill="E3F5FA" w:themeFill="accent2" w:themeFillTint="33"/>
        <w:rPr>
          <w:rFonts w:asciiTheme="minorHAnsi" w:hAnsiTheme="minorHAnsi"/>
          <w:sz w:val="20"/>
        </w:rPr>
      </w:pPr>
      <w:r w:rsidRPr="00933303">
        <w:rPr>
          <w:rFonts w:asciiTheme="minorHAnsi" w:hAnsiTheme="minorHAnsi"/>
          <w:b/>
          <w:bCs/>
          <w:sz w:val="20"/>
          <w:lang w:val="en-AU"/>
        </w:rPr>
        <w:t xml:space="preserve">Provide DGR status to all registered charities, not just half.  </w:t>
      </w:r>
    </w:p>
    <w:p w14:paraId="3C755A24" w14:textId="55C031E9" w:rsidR="00486166" w:rsidRPr="00933303" w:rsidRDefault="000F7AA2" w:rsidP="00B51A02">
      <w:pPr>
        <w:pStyle w:val="Heading4"/>
        <w:spacing w:before="120"/>
        <w:rPr>
          <w:rFonts w:asciiTheme="minorHAnsi" w:hAnsiTheme="minorHAnsi"/>
        </w:rPr>
      </w:pPr>
      <w:r w:rsidRPr="00933303">
        <w:rPr>
          <w:rFonts w:asciiTheme="minorHAnsi" w:hAnsiTheme="minorHAnsi"/>
        </w:rPr>
        <w:t xml:space="preserve">The </w:t>
      </w:r>
      <w:r w:rsidR="00F97436" w:rsidRPr="00933303">
        <w:rPr>
          <w:rFonts w:asciiTheme="minorHAnsi" w:hAnsiTheme="minorHAnsi"/>
        </w:rPr>
        <w:t>Case for Reform</w:t>
      </w:r>
    </w:p>
    <w:p w14:paraId="2E034E37" w14:textId="77777777" w:rsidR="00006ED8" w:rsidRPr="00933303" w:rsidRDefault="00006ED8" w:rsidP="0093465B">
      <w:pPr>
        <w:pStyle w:val="BodyText"/>
        <w:numPr>
          <w:ilvl w:val="0"/>
          <w:numId w:val="28"/>
        </w:numPr>
        <w:rPr>
          <w:b/>
        </w:rPr>
      </w:pPr>
      <w:r w:rsidRPr="00933303">
        <w:rPr>
          <w:b/>
        </w:rPr>
        <w:t>Almost half of Australia’s charities are cut off from DGR – and the donations it attracts – despite undertaking charitable activities that provide a positive public benefit.</w:t>
      </w:r>
    </w:p>
    <w:p w14:paraId="45E45EE0" w14:textId="77777777" w:rsidR="00E21E56" w:rsidRPr="00933303" w:rsidRDefault="00CA6FDC" w:rsidP="0093465B">
      <w:pPr>
        <w:pStyle w:val="ListNumber3"/>
        <w:numPr>
          <w:ilvl w:val="0"/>
          <w:numId w:val="24"/>
        </w:numPr>
      </w:pPr>
      <w:r w:rsidRPr="00933303">
        <w:t xml:space="preserve">All policy institutions freely admit the rules that permit one charity to get DGR status (e.g. direct poverty relief), but may disallow another (e.g. preventing poverty) were developed in an ad hoc manner with no clear policy rationale.  </w:t>
      </w:r>
    </w:p>
    <w:p w14:paraId="062DB332" w14:textId="77777777" w:rsidR="00E21E56" w:rsidRPr="00933303" w:rsidRDefault="00CA6FDC" w:rsidP="0093465B">
      <w:pPr>
        <w:pStyle w:val="ListNumber3"/>
        <w:numPr>
          <w:ilvl w:val="0"/>
          <w:numId w:val="24"/>
        </w:numPr>
      </w:pPr>
      <w:r w:rsidRPr="00933303">
        <w:t>The policy purpose of providing tax incentives to encourage giving is to support charitable activities that provide a positive public benefit.  All charities do this, so all should be given DGR status</w:t>
      </w:r>
      <w:r w:rsidR="00E21E56" w:rsidRPr="00933303">
        <w:t>.</w:t>
      </w:r>
    </w:p>
    <w:p w14:paraId="463808B1" w14:textId="0524A8A4" w:rsidR="00006ED8" w:rsidRPr="00933303" w:rsidRDefault="00006ED8" w:rsidP="0093465B">
      <w:pPr>
        <w:pStyle w:val="BodyText"/>
        <w:numPr>
          <w:ilvl w:val="0"/>
          <w:numId w:val="16"/>
        </w:numPr>
        <w:rPr>
          <w:b/>
        </w:rPr>
      </w:pPr>
      <w:r w:rsidRPr="00933303">
        <w:rPr>
          <w:b/>
        </w:rPr>
        <w:t>Total giving in Australia will rise if the DGR framework is reformed.</w:t>
      </w:r>
    </w:p>
    <w:p w14:paraId="0941D454" w14:textId="71F7EF58" w:rsidR="00006ED8" w:rsidRPr="00933303" w:rsidRDefault="00006ED8" w:rsidP="00603E84">
      <w:pPr>
        <w:pStyle w:val="ListNumber2"/>
        <w:numPr>
          <w:ilvl w:val="0"/>
          <w:numId w:val="39"/>
        </w:numPr>
      </w:pPr>
      <w:r w:rsidRPr="00933303">
        <w:t>People intending to donate to a cause they support often withdraw from donating when they find out organisations do not have DGR status.  Affected charities have missed out on millions, including very sizeable donations that would have been transformational for what they were able to achieve.</w:t>
      </w:r>
      <w:r w:rsidR="00E66BAB" w:rsidRPr="00933303">
        <w:t xml:space="preserve">  </w:t>
      </w:r>
      <w:r w:rsidRPr="00933303">
        <w:t>While there would be some substitution effect, total giving would rise if more charities could seek support with the carrot of tax deductions for donors.</w:t>
      </w:r>
    </w:p>
    <w:p w14:paraId="0765F496" w14:textId="03266043" w:rsidR="00E66BAB" w:rsidRPr="00933303" w:rsidRDefault="00E66BAB" w:rsidP="00603E84">
      <w:pPr>
        <w:pStyle w:val="ListNumber2"/>
        <w:numPr>
          <w:ilvl w:val="0"/>
          <w:numId w:val="39"/>
        </w:numPr>
      </w:pPr>
      <w:r w:rsidRPr="00933303">
        <w:t>Numerous studies confirm tax concessions are an economically efficient way to encourage giving</w:t>
      </w:r>
      <w:r w:rsidR="001878CE" w:rsidRPr="00933303">
        <w:t>.  For instance, a US longitudinal study found</w:t>
      </w:r>
      <w:r w:rsidRPr="00933303">
        <w:t xml:space="preserve"> “a large persistent price elasticity of charitable giving, generally in excess of one in absolute value”.</w:t>
      </w:r>
      <w:r w:rsidRPr="00933303">
        <w:rPr>
          <w:vertAlign w:val="superscript"/>
        </w:rPr>
        <w:footnoteReference w:id="2"/>
      </w:r>
      <w:r w:rsidRPr="00933303">
        <w:rPr>
          <w:vertAlign w:val="superscript"/>
        </w:rPr>
        <w:t xml:space="preserve"> </w:t>
      </w:r>
      <w:r w:rsidR="00CA0D8C" w:rsidRPr="00933303">
        <w:t xml:space="preserve">  </w:t>
      </w:r>
      <w:r w:rsidRPr="00933303">
        <w:t>Deloitte Access Economics in 2018 assessed</w:t>
      </w:r>
      <w:r w:rsidR="00CA0D8C" w:rsidRPr="00933303">
        <w:t xml:space="preserve"> our tax concession as economically efficient, with an</w:t>
      </w:r>
      <w:r w:rsidRPr="00933303">
        <w:t xml:space="preserve"> elasticity of giving </w:t>
      </w:r>
      <w:r w:rsidR="00CA0D8C" w:rsidRPr="00933303">
        <w:t xml:space="preserve">of </w:t>
      </w:r>
      <w:r w:rsidRPr="00933303">
        <w:t>1.19.</w:t>
      </w:r>
      <w:r w:rsidRPr="00933303">
        <w:rPr>
          <w:vertAlign w:val="superscript"/>
        </w:rPr>
        <w:footnoteReference w:id="3"/>
      </w:r>
      <w:r w:rsidRPr="00933303">
        <w:rPr>
          <w:vertAlign w:val="superscript"/>
        </w:rPr>
        <w:t xml:space="preserve"> </w:t>
      </w:r>
    </w:p>
    <w:p w14:paraId="3D7B60F3" w14:textId="77777777" w:rsidR="00006ED8" w:rsidRPr="00933303" w:rsidRDefault="00006ED8" w:rsidP="0093465B">
      <w:pPr>
        <w:pStyle w:val="BodyText"/>
        <w:numPr>
          <w:ilvl w:val="0"/>
          <w:numId w:val="16"/>
        </w:numPr>
        <w:rPr>
          <w:b/>
        </w:rPr>
      </w:pPr>
      <w:r w:rsidRPr="00933303">
        <w:rPr>
          <w:b/>
        </w:rPr>
        <w:t>Providing DGR to all charities would reduce red tape costs for charities and government, freeing up more funds to support people in need.</w:t>
      </w:r>
    </w:p>
    <w:p w14:paraId="41431A3A" w14:textId="77777777" w:rsidR="00006ED8" w:rsidRPr="00933303" w:rsidRDefault="00006ED8" w:rsidP="00603E84">
      <w:pPr>
        <w:pStyle w:val="ListNumber2"/>
        <w:numPr>
          <w:ilvl w:val="0"/>
          <w:numId w:val="40"/>
        </w:numPr>
      </w:pPr>
      <w:r w:rsidRPr="00933303">
        <w:t xml:space="preserve">Where charities support multiple purposes, they need to seek endorsement under numerous different DGR endorsement categories, and may need to set up funds, </w:t>
      </w:r>
      <w:proofErr w:type="gramStart"/>
      <w:r w:rsidRPr="00933303">
        <w:t>authorities</w:t>
      </w:r>
      <w:proofErr w:type="gramEnd"/>
      <w:r w:rsidRPr="00933303">
        <w:t xml:space="preserve"> or institutions for each of the categories.  Some purposes may not fit within the endorsement categories, and therefore will not attract DGR.  This adds complex red tape for no policy benefit.  This is a challenge for many Indigenous charities, which seek to provide holistic support across a range of areas.</w:t>
      </w:r>
    </w:p>
    <w:p w14:paraId="4651F5A4" w14:textId="77777777" w:rsidR="00006ED8" w:rsidRPr="00933303" w:rsidRDefault="00006ED8" w:rsidP="00603E84">
      <w:pPr>
        <w:pStyle w:val="ListNumber2"/>
        <w:numPr>
          <w:ilvl w:val="0"/>
          <w:numId w:val="40"/>
        </w:numPr>
      </w:pPr>
      <w:r w:rsidRPr="00933303">
        <w:t>Many charities ‘fall between the cracks’ because their work does not fit within any of the DGR endorsement categories.  In this case, the only option is to seek a ‘specific listing’ in the tax laws – a long and complicated process, requiring a legislative amendment.  Success is far from assured – there are many applications and only a minority are granted.  And without a clear policy rationale guiding Ministers on who to include and exclude, decisions can appear arbitrary.  Those well positioned to lobby government have a stronger chance of success than others.</w:t>
      </w:r>
    </w:p>
    <w:p w14:paraId="514974DC" w14:textId="77777777" w:rsidR="00006ED8" w:rsidRPr="00933303" w:rsidRDefault="00006ED8" w:rsidP="00603E84">
      <w:pPr>
        <w:pStyle w:val="ListNumber2"/>
        <w:numPr>
          <w:ilvl w:val="0"/>
          <w:numId w:val="40"/>
        </w:numPr>
      </w:pPr>
      <w:r w:rsidRPr="00933303">
        <w:t>Providing DGR to all registered charities would remove all this unnecessary red tape for government and charities, freeing up more funds to support people in need.</w:t>
      </w:r>
    </w:p>
    <w:p w14:paraId="0A15056D" w14:textId="77777777" w:rsidR="00006ED8" w:rsidRPr="00933303" w:rsidRDefault="00006ED8" w:rsidP="0093465B">
      <w:pPr>
        <w:pStyle w:val="BodyText"/>
        <w:numPr>
          <w:ilvl w:val="0"/>
          <w:numId w:val="16"/>
        </w:numPr>
        <w:rPr>
          <w:b/>
        </w:rPr>
      </w:pPr>
      <w:r w:rsidRPr="00933303">
        <w:rPr>
          <w:b/>
        </w:rPr>
        <w:t xml:space="preserve">Leading philanthropic nations give DGR status to charities automatically, recognising they serve a public purpose, and this is what Australia should do too. </w:t>
      </w:r>
    </w:p>
    <w:p w14:paraId="6CB3ED20" w14:textId="46CE08A5" w:rsidR="00006ED8" w:rsidRPr="00933303" w:rsidRDefault="00006ED8" w:rsidP="0093465B">
      <w:pPr>
        <w:pStyle w:val="BodyText"/>
        <w:numPr>
          <w:ilvl w:val="0"/>
          <w:numId w:val="24"/>
        </w:numPr>
      </w:pPr>
      <w:r w:rsidRPr="00933303">
        <w:t>In the United States, New Zealand and the United Kingdom, all entities recognised as charities get the broad equivalent of DGR status</w:t>
      </w:r>
      <w:r w:rsidR="00F23102" w:rsidRPr="00933303">
        <w:t xml:space="preserve">.  </w:t>
      </w:r>
      <w:r w:rsidRPr="00933303">
        <w:t>This is one of the reasons Australia’s annual giving – at 0.81 per cent of GDP – lags these nations: US – 2.1; NZ -1.84 and the UK – 0.96.</w:t>
      </w:r>
    </w:p>
    <w:p w14:paraId="4D9CDAC9" w14:textId="77777777" w:rsidR="00006ED8" w:rsidRPr="00933303" w:rsidRDefault="00006ED8" w:rsidP="0093465B">
      <w:pPr>
        <w:pStyle w:val="BodyText"/>
        <w:numPr>
          <w:ilvl w:val="0"/>
          <w:numId w:val="16"/>
        </w:numPr>
        <w:rPr>
          <w:b/>
        </w:rPr>
      </w:pPr>
      <w:r w:rsidRPr="00933303">
        <w:rPr>
          <w:b/>
        </w:rPr>
        <w:t>The need for reform to expand eligibility to all charities has been recognised by numerous reviews and reports for decades, but comprehensive reform has not been forthcoming.</w:t>
      </w:r>
    </w:p>
    <w:p w14:paraId="40482DD9" w14:textId="35A548A3" w:rsidR="00006ED8" w:rsidRPr="00933303" w:rsidRDefault="009B48F4" w:rsidP="0093465B">
      <w:pPr>
        <w:pStyle w:val="BodyText"/>
        <w:numPr>
          <w:ilvl w:val="0"/>
          <w:numId w:val="24"/>
        </w:numPr>
      </w:pPr>
      <w:r w:rsidRPr="00933303">
        <w:lastRenderedPageBreak/>
        <w:t xml:space="preserve">For instance, </w:t>
      </w:r>
      <w:r w:rsidR="00006ED8" w:rsidRPr="00933303">
        <w:t xml:space="preserve">The Productivity Commission, </w:t>
      </w:r>
      <w:r w:rsidR="00006ED8" w:rsidRPr="00933303">
        <w:rPr>
          <w:i/>
        </w:rPr>
        <w:t>Contribution of the Not-For-Profit Sector</w:t>
      </w:r>
      <w:r w:rsidR="00006ED8" w:rsidRPr="00933303">
        <w:t>, January 2010, p.184:</w:t>
      </w:r>
      <w:r w:rsidRPr="00933303">
        <w:t xml:space="preserve"> ‘</w:t>
      </w:r>
      <w:r w:rsidR="00006ED8" w:rsidRPr="00933303">
        <w:t>Recommendation 7.3: The Australian Government should progressively widen the scope for gift deductibility to include all endorsed charitable institutions and charitable funds.</w:t>
      </w:r>
      <w:r w:rsidRPr="00933303">
        <w:t>’</w:t>
      </w:r>
    </w:p>
    <w:p w14:paraId="2C13C276" w14:textId="5DB33B78" w:rsidR="00006ED8" w:rsidRPr="00933303" w:rsidRDefault="00006ED8" w:rsidP="0093465B">
      <w:pPr>
        <w:pStyle w:val="BodyText"/>
        <w:numPr>
          <w:ilvl w:val="0"/>
          <w:numId w:val="24"/>
        </w:numPr>
      </w:pPr>
      <w:r w:rsidRPr="00933303">
        <w:t xml:space="preserve">The Not-For-Profit Sector Tax Concession Working Group, </w:t>
      </w:r>
      <w:r w:rsidRPr="00933303">
        <w:rPr>
          <w:i/>
          <w:iCs/>
        </w:rPr>
        <w:t>Fairer, Simpler and More Effective Tax Concessions for the Not-For-Profit Sector, Final Report</w:t>
      </w:r>
      <w:r w:rsidRPr="00933303">
        <w:t xml:space="preserve">, May 2013, </w:t>
      </w:r>
      <w:r w:rsidR="008D31E6" w:rsidRPr="00933303">
        <w:t xml:space="preserve">recommended expanding DGR and provided an option to </w:t>
      </w:r>
      <w:r w:rsidR="0084251B" w:rsidRPr="00933303">
        <w:t>do so while containing the revenue foregone.</w:t>
      </w:r>
    </w:p>
    <w:p w14:paraId="45165B2B" w14:textId="77777777" w:rsidR="00006ED8" w:rsidRPr="00933303" w:rsidRDefault="00006ED8" w:rsidP="0093465B">
      <w:pPr>
        <w:pStyle w:val="BodyText"/>
        <w:numPr>
          <w:ilvl w:val="0"/>
          <w:numId w:val="16"/>
        </w:numPr>
        <w:rPr>
          <w:b/>
        </w:rPr>
      </w:pPr>
      <w:r w:rsidRPr="00933303">
        <w:rPr>
          <w:b/>
        </w:rPr>
        <w:t>The policy reform would be very popular with the Australian community.</w:t>
      </w:r>
    </w:p>
    <w:p w14:paraId="05B46B53" w14:textId="77777777" w:rsidR="00006ED8" w:rsidRPr="00933303" w:rsidRDefault="00006ED8" w:rsidP="00603E84">
      <w:pPr>
        <w:pStyle w:val="BodyText"/>
        <w:numPr>
          <w:ilvl w:val="0"/>
          <w:numId w:val="30"/>
        </w:numPr>
      </w:pPr>
      <w:r w:rsidRPr="00933303">
        <w:t>Polling of more than 2,500 Australians by Redbridge found this reform would be very popular with the Australian community: 74% support the reform; 6.2% are opposed; and 19.9% are neutral or not sure.</w:t>
      </w:r>
    </w:p>
    <w:p w14:paraId="16948996" w14:textId="77777777" w:rsidR="00A16771" w:rsidRPr="00933303" w:rsidRDefault="00A16771">
      <w:pPr>
        <w:rPr>
          <w:rFonts w:eastAsiaTheme="majorEastAsia" w:cstheme="majorBidi"/>
          <w:b/>
          <w:bCs/>
          <w:color w:val="3D7EDB" w:themeColor="accent1"/>
          <w:sz w:val="24"/>
          <w:szCs w:val="24"/>
        </w:rPr>
      </w:pPr>
      <w:bookmarkStart w:id="8" w:name="_Toc126341211"/>
      <w:bookmarkStart w:id="9" w:name="_Toc128563942"/>
      <w:bookmarkStart w:id="10" w:name="_Toc133162701"/>
      <w:r w:rsidRPr="00933303">
        <w:br w:type="page"/>
      </w:r>
    </w:p>
    <w:p w14:paraId="27CC8620" w14:textId="30A07425" w:rsidR="00A60B1A" w:rsidRPr="00933303" w:rsidRDefault="00A60B1A" w:rsidP="0093465B">
      <w:pPr>
        <w:pStyle w:val="Heading2NoNumbering"/>
        <w:numPr>
          <w:ilvl w:val="0"/>
          <w:numId w:val="26"/>
        </w:numPr>
        <w:rPr>
          <w:rFonts w:asciiTheme="minorHAnsi" w:hAnsiTheme="minorHAnsi"/>
        </w:rPr>
      </w:pPr>
      <w:bookmarkStart w:id="11" w:name="_Toc153841130"/>
      <w:r w:rsidRPr="00933303">
        <w:rPr>
          <w:rFonts w:asciiTheme="minorHAnsi" w:hAnsiTheme="minorHAnsi"/>
        </w:rPr>
        <w:lastRenderedPageBreak/>
        <w:t>Providing people with a voluntary choice to donate some of their tax return to charity.</w:t>
      </w:r>
      <w:bookmarkEnd w:id="8"/>
      <w:bookmarkEnd w:id="9"/>
      <w:bookmarkEnd w:id="10"/>
      <w:bookmarkEnd w:id="11"/>
    </w:p>
    <w:tbl>
      <w:tblPr>
        <w:tblStyle w:val="PullOutTable"/>
        <w:tblW w:w="0" w:type="auto"/>
        <w:tblInd w:w="-289" w:type="dxa"/>
        <w:tblBorders>
          <w:insideH w:val="single" w:sz="4" w:space="0" w:color="F5F9FD" w:themeColor="background2"/>
          <w:insideV w:val="single" w:sz="4" w:space="0" w:color="F5F9FD" w:themeColor="background2"/>
        </w:tblBorders>
        <w:shd w:val="clear" w:color="auto" w:fill="E3F5FA" w:themeFill="accent2" w:themeFillTint="33"/>
        <w:tblLook w:val="04A0" w:firstRow="1" w:lastRow="0" w:firstColumn="1" w:lastColumn="0" w:noHBand="0" w:noVBand="1"/>
      </w:tblPr>
      <w:tblGrid>
        <w:gridCol w:w="9628"/>
      </w:tblGrid>
      <w:tr w:rsidR="00A60B1A" w:rsidRPr="00933303" w14:paraId="5E8A0EDF" w14:textId="77777777" w:rsidTr="00435334">
        <w:trPr>
          <w:trHeight w:val="3318"/>
        </w:trPr>
        <w:tc>
          <w:tcPr>
            <w:tcW w:w="9628" w:type="dxa"/>
            <w:shd w:val="clear" w:color="auto" w:fill="E3F5FA" w:themeFill="accent2" w:themeFillTint="33"/>
          </w:tcPr>
          <w:p w14:paraId="6C424573" w14:textId="77777777" w:rsidR="00A60B1A" w:rsidRPr="00933303" w:rsidRDefault="00A60B1A" w:rsidP="00BA1889">
            <w:pPr>
              <w:pStyle w:val="Heading4"/>
              <w:rPr>
                <w:rFonts w:asciiTheme="minorHAnsi" w:hAnsiTheme="minorHAnsi"/>
              </w:rPr>
            </w:pPr>
            <w:r w:rsidRPr="00933303">
              <w:rPr>
                <w:rFonts w:asciiTheme="minorHAnsi" w:eastAsia="MS ??" w:hAnsiTheme="minorHAnsi"/>
              </w:rPr>
              <w:t>The Reform</w:t>
            </w:r>
          </w:p>
          <w:p w14:paraId="456F4616" w14:textId="10BECD44" w:rsidR="00A60B1A" w:rsidRPr="00933303" w:rsidRDefault="00A60B1A" w:rsidP="00A320E8">
            <w:pPr>
              <w:pStyle w:val="ListNumber"/>
              <w:numPr>
                <w:ilvl w:val="0"/>
                <w:numId w:val="0"/>
              </w:numPr>
            </w:pPr>
            <w:r w:rsidRPr="00933303">
              <w:t xml:space="preserve">The Federal Government provide Australians </w:t>
            </w:r>
            <w:r w:rsidR="00B67493" w:rsidRPr="00933303">
              <w:t xml:space="preserve">with </w:t>
            </w:r>
            <w:r w:rsidRPr="00933303">
              <w:t xml:space="preserve">a voluntary choice to return some or </w:t>
            </w:r>
            <w:proofErr w:type="gramStart"/>
            <w:r w:rsidRPr="00933303">
              <w:t>all of</w:t>
            </w:r>
            <w:proofErr w:type="gramEnd"/>
            <w:r w:rsidRPr="00933303">
              <w:t xml:space="preserve"> their tax return to a nominated charity, where they can afford to do so.</w:t>
            </w:r>
          </w:p>
          <w:p w14:paraId="29791B57" w14:textId="77777777" w:rsidR="00A320E8" w:rsidRPr="00933303" w:rsidRDefault="00A60B1A" w:rsidP="00603E84">
            <w:pPr>
              <w:pStyle w:val="ListNumber2"/>
              <w:numPr>
                <w:ilvl w:val="0"/>
                <w:numId w:val="56"/>
              </w:numPr>
            </w:pPr>
            <w:r w:rsidRPr="00933303">
              <w:t>As people neared completion of their tax return,</w:t>
            </w:r>
            <w:r w:rsidRPr="00933303">
              <w:rPr>
                <w:b/>
              </w:rPr>
              <w:t xml:space="preserve"> </w:t>
            </w:r>
            <w:r w:rsidRPr="00933303">
              <w:t xml:space="preserve">a prompt would appear informing them of their estimated tax return and inviting them to provide some or </w:t>
            </w:r>
            <w:proofErr w:type="gramStart"/>
            <w:r w:rsidRPr="00933303">
              <w:t>all of</w:t>
            </w:r>
            <w:proofErr w:type="gramEnd"/>
            <w:r w:rsidRPr="00933303">
              <w:t xml:space="preserve"> their return to a nominated charity from a drop-down menu in their tax return lodgement.  </w:t>
            </w:r>
          </w:p>
          <w:p w14:paraId="58E096D4" w14:textId="72F09C06" w:rsidR="00A60B1A" w:rsidRPr="00933303" w:rsidRDefault="00623152" w:rsidP="00603E84">
            <w:pPr>
              <w:pStyle w:val="ListNumber2"/>
              <w:numPr>
                <w:ilvl w:val="0"/>
                <w:numId w:val="56"/>
              </w:numPr>
            </w:pPr>
            <w:r w:rsidRPr="00933303">
              <w:t>This would be</w:t>
            </w:r>
            <w:r w:rsidR="00A60B1A" w:rsidRPr="00933303">
              <w:t xml:space="preserve"> accommodated with just a few clicks - behavioural economics has demonstrated that the take up of ‘nudges’, including to give, is crucially dependent on the process being simple and offered at the key decision point.</w:t>
            </w:r>
            <w:r w:rsidR="00A60B1A" w:rsidRPr="00933303">
              <w:rPr>
                <w:rStyle w:val="FootnoteReference"/>
              </w:rPr>
              <w:footnoteReference w:id="4"/>
            </w:r>
          </w:p>
          <w:p w14:paraId="1B386BBE" w14:textId="3C480FB2" w:rsidR="00A60B1A" w:rsidRPr="00933303" w:rsidRDefault="00AF47FB" w:rsidP="00603E84">
            <w:pPr>
              <w:pStyle w:val="ListNumber2"/>
              <w:numPr>
                <w:ilvl w:val="0"/>
                <w:numId w:val="56"/>
              </w:numPr>
            </w:pPr>
            <w:r w:rsidRPr="00933303">
              <w:t xml:space="preserve">Good communications would be needed during implementation, so Australians </w:t>
            </w:r>
            <w:r w:rsidR="005E2F0C" w:rsidRPr="00933303">
              <w:t xml:space="preserve">understand the process and recognise it is </w:t>
            </w:r>
            <w:r w:rsidR="009B21E5" w:rsidRPr="00933303">
              <w:t>a voluntary choice, not a demand from government.</w:t>
            </w:r>
          </w:p>
        </w:tc>
      </w:tr>
    </w:tbl>
    <w:p w14:paraId="71695959" w14:textId="79036E3E" w:rsidR="00A60B1A" w:rsidRPr="00933303" w:rsidRDefault="00A60B1A" w:rsidP="00B51A02">
      <w:pPr>
        <w:pStyle w:val="Heading4"/>
        <w:rPr>
          <w:rFonts w:asciiTheme="minorHAnsi" w:hAnsiTheme="minorHAnsi"/>
        </w:rPr>
      </w:pPr>
      <w:r w:rsidRPr="00933303">
        <w:rPr>
          <w:rFonts w:asciiTheme="minorHAnsi" w:hAnsiTheme="minorHAnsi"/>
        </w:rPr>
        <w:t xml:space="preserve">The </w:t>
      </w:r>
      <w:r w:rsidR="00B51A02" w:rsidRPr="00933303">
        <w:rPr>
          <w:rFonts w:asciiTheme="minorHAnsi" w:hAnsiTheme="minorHAnsi"/>
        </w:rPr>
        <w:t>Rationale</w:t>
      </w:r>
    </w:p>
    <w:p w14:paraId="7195B173" w14:textId="7DB86D47" w:rsidR="00A60B1A" w:rsidRPr="00933303" w:rsidRDefault="00A60B1A" w:rsidP="0093465B">
      <w:pPr>
        <w:pStyle w:val="ListNumber"/>
        <w:numPr>
          <w:ilvl w:val="6"/>
          <w:numId w:val="17"/>
        </w:numPr>
        <w:ind w:left="340"/>
      </w:pPr>
      <w:r w:rsidRPr="00933303">
        <w:t>A prompt to consider donating at tax time would - over time - embed a valued national custom, where we consider providing extra support for people in need, where we can afford to do so.</w:t>
      </w:r>
    </w:p>
    <w:p w14:paraId="509A6533" w14:textId="2AACA91A" w:rsidR="00594587" w:rsidRPr="00933303" w:rsidRDefault="006C526F" w:rsidP="00603E84">
      <w:pPr>
        <w:pStyle w:val="ListNumber2"/>
        <w:numPr>
          <w:ilvl w:val="0"/>
          <w:numId w:val="35"/>
        </w:numPr>
      </w:pPr>
      <w:r w:rsidRPr="00933303">
        <w:t xml:space="preserve">Almost all Australians face times </w:t>
      </w:r>
      <w:r w:rsidR="0091214B" w:rsidRPr="00933303">
        <w:t>when money is short</w:t>
      </w:r>
      <w:r w:rsidR="001A3022" w:rsidRPr="00933303">
        <w:t xml:space="preserve">.  At present, the cost of living is rising, </w:t>
      </w:r>
      <w:r w:rsidR="00057460" w:rsidRPr="00933303">
        <w:t>so many Australians won’t be well positioned to donate as part of their tax return</w:t>
      </w:r>
      <w:r w:rsidR="0099361C" w:rsidRPr="00933303">
        <w:t xml:space="preserve">.  </w:t>
      </w:r>
      <w:r w:rsidR="0091214B" w:rsidRPr="00933303">
        <w:t xml:space="preserve">However, at any one time, many are </w:t>
      </w:r>
      <w:proofErr w:type="gramStart"/>
      <w:r w:rsidR="0091214B" w:rsidRPr="00933303">
        <w:t>in a position</w:t>
      </w:r>
      <w:proofErr w:type="gramEnd"/>
      <w:r w:rsidR="0091214B" w:rsidRPr="00933303">
        <w:t xml:space="preserve"> to </w:t>
      </w:r>
      <w:r w:rsidR="00A60B1A" w:rsidRPr="00933303">
        <w:t xml:space="preserve">give some or all of their tax return back to charity.  </w:t>
      </w:r>
    </w:p>
    <w:p w14:paraId="0C76C986" w14:textId="3C14AA9A" w:rsidR="006F4388" w:rsidRPr="00933303" w:rsidRDefault="00B857C7" w:rsidP="00603E84">
      <w:pPr>
        <w:pStyle w:val="ListNumber2"/>
        <w:numPr>
          <w:ilvl w:val="0"/>
          <w:numId w:val="35"/>
        </w:numPr>
      </w:pPr>
      <w:r w:rsidRPr="00933303">
        <w:t>Such behavioural ‘nudges’ are important</w:t>
      </w:r>
      <w:r w:rsidR="0099361C" w:rsidRPr="00933303">
        <w:t>,</w:t>
      </w:r>
      <w:r w:rsidRPr="00933303">
        <w:t xml:space="preserve"> as </w:t>
      </w:r>
      <w:r w:rsidR="003326D2" w:rsidRPr="00933303">
        <w:t>financial</w:t>
      </w:r>
      <w:r w:rsidR="006F4388" w:rsidRPr="00933303">
        <w:t xml:space="preserve"> incentives </w:t>
      </w:r>
      <w:r w:rsidR="003326D2" w:rsidRPr="00933303">
        <w:t xml:space="preserve">to encourage giving </w:t>
      </w:r>
      <w:r w:rsidR="006F4388" w:rsidRPr="00933303">
        <w:t>alone cannot work without compl</w:t>
      </w:r>
      <w:r w:rsidR="0099361C" w:rsidRPr="00933303">
        <w:t>e</w:t>
      </w:r>
      <w:r w:rsidR="006F4388" w:rsidRPr="00933303">
        <w:t>mentary initiatives to raise awareness and prompt a more generous culture, where people strongly value giving.  This reform – and other suggested initiatives such as the National Giving Campaign – are essential to awakening the generosity of spirit that is an essential part of the Australian identity</w:t>
      </w:r>
      <w:r w:rsidR="007F473A" w:rsidRPr="00933303">
        <w:t>.</w:t>
      </w:r>
    </w:p>
    <w:p w14:paraId="21AAF8FF" w14:textId="41288553" w:rsidR="00A60B1A" w:rsidRPr="00933303" w:rsidRDefault="00A60B1A" w:rsidP="0093465B">
      <w:pPr>
        <w:pStyle w:val="ListNumber"/>
        <w:numPr>
          <w:ilvl w:val="0"/>
          <w:numId w:val="29"/>
        </w:numPr>
      </w:pPr>
      <w:r w:rsidRPr="00933303">
        <w:t>Over time, the prompt, particularly if well promoted, would foster a more generous and giving culture and create billions of additional funds for Australians in greatest need.</w:t>
      </w:r>
    </w:p>
    <w:p w14:paraId="154D00B9" w14:textId="55B98B1D" w:rsidR="00A60B1A" w:rsidRPr="00933303" w:rsidRDefault="00A60B1A" w:rsidP="00603E84">
      <w:pPr>
        <w:pStyle w:val="ListNumber2"/>
        <w:numPr>
          <w:ilvl w:val="0"/>
          <w:numId w:val="36"/>
        </w:numPr>
      </w:pPr>
      <w:r w:rsidRPr="00933303">
        <w:t>Over 14 million people lodge a tax return each year in Australia. The average refund is just over $2,800 each (among the two-thirds who get a return), resulting in a collective refund of more than $30 billion.</w:t>
      </w:r>
      <w:r w:rsidRPr="00933303">
        <w:rPr>
          <w:vertAlign w:val="superscript"/>
        </w:rPr>
        <w:footnoteReference w:id="5"/>
      </w:r>
      <w:r w:rsidRPr="00933303">
        <w:t> </w:t>
      </w:r>
      <w:r w:rsidR="007F473A" w:rsidRPr="00933303">
        <w:t xml:space="preserve">In a wealthy nation, we’d expect </w:t>
      </w:r>
      <w:r w:rsidR="00E5263D" w:rsidRPr="00933303">
        <w:t>at least several billion to be passed back to charity each year.</w:t>
      </w:r>
    </w:p>
    <w:p w14:paraId="123F8293" w14:textId="77777777" w:rsidR="00A60B1A" w:rsidRPr="00933303" w:rsidRDefault="00A60B1A" w:rsidP="0093465B">
      <w:pPr>
        <w:pStyle w:val="ListNumber"/>
        <w:numPr>
          <w:ilvl w:val="0"/>
          <w:numId w:val="29"/>
        </w:numPr>
      </w:pPr>
      <w:r w:rsidRPr="00933303">
        <w:t>Provided it is well communicated, the reform would be popular with the Australian people.</w:t>
      </w:r>
    </w:p>
    <w:p w14:paraId="2980FACD" w14:textId="77777777" w:rsidR="00A60B1A" w:rsidRPr="00933303" w:rsidRDefault="00A60B1A" w:rsidP="00603E84">
      <w:pPr>
        <w:pStyle w:val="ListNumber2"/>
        <w:numPr>
          <w:ilvl w:val="0"/>
          <w:numId w:val="36"/>
        </w:numPr>
      </w:pPr>
      <w:r w:rsidRPr="00933303">
        <w:t>Polling of more than 2,500 Australians by Redbridge in November 2022 found 70 per cent supported the reform, 9 per cent were opposed, and 20.9 per cent were neutral or not sure.</w:t>
      </w:r>
    </w:p>
    <w:p w14:paraId="0C65F9CD" w14:textId="77777777" w:rsidR="009B21E5" w:rsidRPr="00933303" w:rsidRDefault="009B21E5">
      <w:pPr>
        <w:rPr>
          <w:rFonts w:eastAsiaTheme="majorEastAsia" w:cstheme="majorBidi"/>
          <w:b/>
          <w:bCs/>
          <w:color w:val="3D7EDB" w:themeColor="accent1"/>
          <w:sz w:val="24"/>
          <w:szCs w:val="24"/>
        </w:rPr>
      </w:pPr>
      <w:r w:rsidRPr="00933303">
        <w:br w:type="page"/>
      </w:r>
    </w:p>
    <w:p w14:paraId="0150CF5E" w14:textId="77777777" w:rsidR="006072E6" w:rsidRPr="00933303" w:rsidRDefault="006072E6" w:rsidP="006072E6">
      <w:pPr>
        <w:pStyle w:val="Heading2NoNumbering"/>
        <w:numPr>
          <w:ilvl w:val="0"/>
          <w:numId w:val="26"/>
        </w:numPr>
        <w:spacing w:before="0" w:after="0"/>
        <w:ind w:left="357" w:hanging="357"/>
        <w:rPr>
          <w:rFonts w:asciiTheme="minorHAnsi" w:hAnsiTheme="minorHAnsi"/>
        </w:rPr>
      </w:pPr>
      <w:bookmarkStart w:id="12" w:name="_Toc153841131"/>
      <w:r w:rsidRPr="00933303">
        <w:rPr>
          <w:rFonts w:asciiTheme="minorHAnsi" w:hAnsiTheme="minorHAnsi"/>
        </w:rPr>
        <w:lastRenderedPageBreak/>
        <w:t>A National Giving Campaign</w:t>
      </w:r>
      <w:bookmarkEnd w:id="12"/>
    </w:p>
    <w:tbl>
      <w:tblPr>
        <w:tblStyle w:val="PullOutTable"/>
        <w:tblW w:w="0" w:type="auto"/>
        <w:tblBorders>
          <w:insideH w:val="single" w:sz="4" w:space="0" w:color="F5F9FD" w:themeColor="background2"/>
          <w:insideV w:val="single" w:sz="4" w:space="0" w:color="F5F9FD" w:themeColor="background2"/>
        </w:tblBorders>
        <w:shd w:val="clear" w:color="auto" w:fill="E3F5FA" w:themeFill="accent2" w:themeFillTint="33"/>
        <w:tblLook w:val="04A0" w:firstRow="1" w:lastRow="0" w:firstColumn="1" w:lastColumn="0" w:noHBand="0" w:noVBand="1"/>
      </w:tblPr>
      <w:tblGrid>
        <w:gridCol w:w="9629"/>
      </w:tblGrid>
      <w:tr w:rsidR="006072E6" w:rsidRPr="00933303" w14:paraId="54479C94" w14:textId="77777777" w:rsidTr="005D336A">
        <w:tc>
          <w:tcPr>
            <w:tcW w:w="9639" w:type="dxa"/>
            <w:shd w:val="clear" w:color="auto" w:fill="E3F5FA" w:themeFill="accent2" w:themeFillTint="33"/>
          </w:tcPr>
          <w:p w14:paraId="142FF9EE" w14:textId="77777777" w:rsidR="006072E6" w:rsidRPr="00933303" w:rsidRDefault="006072E6" w:rsidP="005D336A">
            <w:pPr>
              <w:pStyle w:val="Heading4"/>
              <w:rPr>
                <w:rFonts w:asciiTheme="minorHAnsi" w:hAnsiTheme="minorHAnsi"/>
              </w:rPr>
            </w:pPr>
            <w:r w:rsidRPr="00933303">
              <w:rPr>
                <w:rFonts w:asciiTheme="minorHAnsi" w:hAnsiTheme="minorHAnsi"/>
              </w:rPr>
              <w:t>The Proposed Reform</w:t>
            </w:r>
          </w:p>
          <w:p w14:paraId="0F93DC75" w14:textId="77777777" w:rsidR="006072E6" w:rsidRPr="00933303" w:rsidRDefault="006072E6" w:rsidP="005D336A">
            <w:pPr>
              <w:numPr>
                <w:ilvl w:val="0"/>
                <w:numId w:val="8"/>
              </w:numPr>
              <w:spacing w:before="60" w:after="60"/>
              <w:ind w:left="340"/>
              <w:rPr>
                <w:rFonts w:eastAsia="MS ??"/>
              </w:rPr>
            </w:pPr>
            <w:r w:rsidRPr="00933303">
              <w:rPr>
                <w:rFonts w:eastAsia="MS ??"/>
                <w:b/>
                <w:bCs/>
              </w:rPr>
              <w:t xml:space="preserve">The Federal Government fund a National Giving Campaign to encourage a stronger culture and practice of giving in Australia. </w:t>
            </w:r>
            <w:r w:rsidRPr="00933303">
              <w:rPr>
                <w:rFonts w:eastAsia="MS ??"/>
              </w:rPr>
              <w:t xml:space="preserve"> A campaign that tells stories Australians can relate to – stories of people who give and the impact it has in the community – can foster a culture where Australians from all walks of life give what they can to great causes, where they can afford to do so.</w:t>
            </w:r>
          </w:p>
          <w:p w14:paraId="367D2DF0" w14:textId="77777777" w:rsidR="006072E6" w:rsidRPr="00933303" w:rsidRDefault="006072E6" w:rsidP="005D336A">
            <w:pPr>
              <w:numPr>
                <w:ilvl w:val="0"/>
                <w:numId w:val="8"/>
              </w:numPr>
              <w:spacing w:before="60" w:after="60"/>
              <w:ind w:left="340"/>
              <w:rPr>
                <w:rFonts w:eastAsia="MS ??"/>
              </w:rPr>
            </w:pPr>
            <w:r w:rsidRPr="00933303">
              <w:rPr>
                <w:rFonts w:eastAsia="MS ??"/>
                <w:b/>
                <w:bCs/>
              </w:rPr>
              <w:t>Target influential audiences:</w:t>
            </w:r>
            <w:r w:rsidRPr="00933303">
              <w:rPr>
                <w:rFonts w:eastAsia="MS ??"/>
              </w:rPr>
              <w:t xml:space="preserve"> There is tremendous potential to increase giving from: ultra-high-net-worth (UHNW) and high-net-worth (HNW) individuals, volunteers and the mass market, business and workplace giving, and financial advisors working with their clients to encourage giving.</w:t>
            </w:r>
          </w:p>
          <w:p w14:paraId="7B581F92" w14:textId="77777777" w:rsidR="006072E6" w:rsidRPr="00933303" w:rsidRDefault="006072E6" w:rsidP="005D336A">
            <w:pPr>
              <w:numPr>
                <w:ilvl w:val="0"/>
                <w:numId w:val="8"/>
              </w:numPr>
              <w:spacing w:before="60" w:after="60"/>
              <w:ind w:left="340"/>
              <w:rPr>
                <w:rFonts w:eastAsia="MS ??"/>
              </w:rPr>
            </w:pPr>
            <w:r w:rsidRPr="00933303">
              <w:rPr>
                <w:rFonts w:eastAsia="MS ??"/>
                <w:b/>
                <w:bCs/>
              </w:rPr>
              <w:t>Maximise reach through a multi-channel strategy and widespread distribution through government, philanthropic and not-for-profit organisations:</w:t>
            </w:r>
            <w:r w:rsidRPr="00933303">
              <w:rPr>
                <w:rFonts w:eastAsia="MS ??"/>
              </w:rPr>
              <w:t xml:space="preserve"> Together, we can galvanise giving in the community with an overarching campaign – e.g. ‘Australia Gives’ – but tailored for each target audience through multiple channels (such as websites, search engines, social media, television, radio, email, mobile and promotional events), distributing material across government, philanthropic and not-for profit organisations.</w:t>
            </w:r>
          </w:p>
          <w:p w14:paraId="7EC02237" w14:textId="77777777" w:rsidR="006072E6" w:rsidRPr="00933303" w:rsidRDefault="006072E6" w:rsidP="005D336A">
            <w:pPr>
              <w:numPr>
                <w:ilvl w:val="0"/>
                <w:numId w:val="8"/>
              </w:numPr>
              <w:spacing w:before="60" w:after="60"/>
              <w:ind w:left="340"/>
              <w:rPr>
                <w:rFonts w:eastAsia="MS ??"/>
              </w:rPr>
            </w:pPr>
            <w:r w:rsidRPr="00933303">
              <w:rPr>
                <w:rFonts w:eastAsia="MS ??"/>
                <w:b/>
                <w:bCs/>
              </w:rPr>
              <w:t>A clear call to action for each target group, with simple, practical information about how they can give:</w:t>
            </w:r>
            <w:r w:rsidRPr="00933303">
              <w:rPr>
                <w:rFonts w:eastAsia="MS ??"/>
              </w:rPr>
              <w:t xml:space="preserve"> For instance, regular giving to your favourite charity, volunteering, workplace giving, or for those with more wealth, establishing a PAF or investing in a sub-fund to leave </w:t>
            </w:r>
            <w:proofErr w:type="gramStart"/>
            <w:r w:rsidRPr="00933303">
              <w:rPr>
                <w:rFonts w:eastAsia="MS ??"/>
              </w:rPr>
              <w:t>a lasting legacy</w:t>
            </w:r>
            <w:proofErr w:type="gramEnd"/>
            <w:r w:rsidRPr="00933303">
              <w:rPr>
                <w:rFonts w:eastAsia="MS ??"/>
              </w:rPr>
              <w:t>.</w:t>
            </w:r>
          </w:p>
          <w:p w14:paraId="2BED93B0" w14:textId="77777777" w:rsidR="006072E6" w:rsidRPr="00933303" w:rsidRDefault="006072E6" w:rsidP="005D336A">
            <w:pPr>
              <w:numPr>
                <w:ilvl w:val="0"/>
                <w:numId w:val="8"/>
              </w:numPr>
              <w:spacing w:before="60" w:after="60" w:line="260" w:lineRule="atLeast"/>
              <w:ind w:left="340"/>
              <w:rPr>
                <w:rFonts w:eastAsia="MS ??"/>
              </w:rPr>
            </w:pPr>
            <w:r w:rsidRPr="00933303">
              <w:rPr>
                <w:rFonts w:eastAsia="MS ??"/>
                <w:b/>
                <w:bCs/>
              </w:rPr>
              <w:t xml:space="preserve">Sustain the program over a decade: </w:t>
            </w:r>
            <w:r w:rsidRPr="00933303">
              <w:rPr>
                <w:rFonts w:eastAsia="MS ??"/>
              </w:rPr>
              <w:t xml:space="preserve">Evidence shows delivering cultural change through social marketing and information can be successful (for instance, campaigns on tobacco, sun protection, </w:t>
            </w:r>
            <w:proofErr w:type="gramStart"/>
            <w:r w:rsidRPr="00933303">
              <w:rPr>
                <w:rFonts w:eastAsia="MS ??"/>
              </w:rPr>
              <w:t>HIV</w:t>
            </w:r>
            <w:proofErr w:type="gramEnd"/>
            <w:r w:rsidRPr="00933303">
              <w:rPr>
                <w:rFonts w:eastAsia="MS ??"/>
              </w:rPr>
              <w:t xml:space="preserve"> and depression), but requires sustained messaging to embed new behaviours in the national culture.</w:t>
            </w:r>
          </w:p>
        </w:tc>
      </w:tr>
    </w:tbl>
    <w:p w14:paraId="5A4ECB35" w14:textId="77777777" w:rsidR="006072E6" w:rsidRPr="00933303" w:rsidRDefault="006072E6" w:rsidP="006072E6">
      <w:pPr>
        <w:pStyle w:val="Heading4"/>
        <w:spacing w:before="120"/>
        <w:rPr>
          <w:rFonts w:asciiTheme="minorHAnsi" w:hAnsiTheme="minorHAnsi"/>
        </w:rPr>
      </w:pPr>
      <w:r w:rsidRPr="00933303">
        <w:rPr>
          <w:rFonts w:asciiTheme="minorHAnsi" w:hAnsiTheme="minorHAnsi"/>
        </w:rPr>
        <w:t>The Case for Change</w:t>
      </w:r>
    </w:p>
    <w:p w14:paraId="1BD68A3F" w14:textId="77777777" w:rsidR="006072E6" w:rsidRPr="00933303" w:rsidRDefault="006072E6" w:rsidP="006072E6">
      <w:pPr>
        <w:numPr>
          <w:ilvl w:val="0"/>
          <w:numId w:val="19"/>
        </w:numPr>
        <w:spacing w:before="120" w:after="60" w:line="260" w:lineRule="atLeast"/>
        <w:rPr>
          <w:rFonts w:eastAsia="MS ??"/>
          <w:b/>
        </w:rPr>
      </w:pPr>
      <w:r w:rsidRPr="00933303">
        <w:rPr>
          <w:rFonts w:eastAsia="MS ??"/>
          <w:b/>
        </w:rPr>
        <w:t>Creating a more aware and generous culture is critical to doubling giving.</w:t>
      </w:r>
    </w:p>
    <w:p w14:paraId="10824C23" w14:textId="77777777" w:rsidR="006072E6" w:rsidRPr="00933303" w:rsidRDefault="006072E6" w:rsidP="00603E84">
      <w:pPr>
        <w:numPr>
          <w:ilvl w:val="0"/>
          <w:numId w:val="57"/>
        </w:numPr>
        <w:spacing w:before="60" w:after="60" w:line="260" w:lineRule="atLeast"/>
        <w:rPr>
          <w:rFonts w:eastAsia="MS ??"/>
        </w:rPr>
      </w:pPr>
      <w:r w:rsidRPr="00933303">
        <w:rPr>
          <w:rFonts w:eastAsia="MS ??"/>
        </w:rPr>
        <w:t xml:space="preserve">Australia faces a significant conundrum: despite rising wealth, the greatest intergenerational wealth transfer in our history and exploding wealth at the top end of society, a declining proportion of Australians are giving to charity.  Philanthropy Australia members highlight strongly that culture is a key part of the explanation.  In countries such as the United States, there is a strong cultural expectation that people – particularly those with wealth – will give to charity.  </w:t>
      </w:r>
    </w:p>
    <w:p w14:paraId="71AF857F" w14:textId="77777777" w:rsidR="006072E6" w:rsidRPr="00933303" w:rsidRDefault="006072E6" w:rsidP="00603E84">
      <w:pPr>
        <w:numPr>
          <w:ilvl w:val="0"/>
          <w:numId w:val="57"/>
        </w:numPr>
        <w:spacing w:before="60" w:after="60" w:line="260" w:lineRule="atLeast"/>
        <w:rPr>
          <w:rFonts w:eastAsia="MS ??"/>
        </w:rPr>
      </w:pPr>
      <w:r w:rsidRPr="00933303">
        <w:rPr>
          <w:rFonts w:eastAsia="MS ??"/>
        </w:rPr>
        <w:t xml:space="preserve">Increasing government incentives for philanthropy is essential, but alone the government incentive framework cannot double giving.   It must be accompanied by a shift in culture, so Australians are aware of the power of giving, and it becomes a more central part of the Australian identity and a routine practice for </w:t>
      </w:r>
      <w:proofErr w:type="gramStart"/>
      <w:r w:rsidRPr="00933303">
        <w:rPr>
          <w:rFonts w:eastAsia="MS ??"/>
        </w:rPr>
        <w:t>the vast majority of</w:t>
      </w:r>
      <w:proofErr w:type="gramEnd"/>
      <w:r w:rsidRPr="00933303">
        <w:rPr>
          <w:rFonts w:eastAsia="MS ??"/>
        </w:rPr>
        <w:t xml:space="preserve"> our people, particularly those more fortunately placed.  </w:t>
      </w:r>
    </w:p>
    <w:p w14:paraId="75A14E79" w14:textId="77777777" w:rsidR="006072E6" w:rsidRPr="005806F6" w:rsidRDefault="006072E6" w:rsidP="006072E6">
      <w:pPr>
        <w:pStyle w:val="ListParagraph"/>
        <w:numPr>
          <w:ilvl w:val="0"/>
          <w:numId w:val="19"/>
        </w:numPr>
        <w:spacing w:before="60" w:after="60" w:line="260" w:lineRule="atLeast"/>
        <w:rPr>
          <w:rFonts w:asciiTheme="minorHAnsi" w:hAnsiTheme="minorHAnsi"/>
          <w:b/>
          <w:bCs/>
          <w:sz w:val="20"/>
        </w:rPr>
      </w:pPr>
      <w:r w:rsidRPr="005806F6">
        <w:rPr>
          <w:rFonts w:asciiTheme="minorHAnsi" w:hAnsiTheme="minorHAnsi"/>
          <w:b/>
          <w:bCs/>
          <w:sz w:val="20"/>
        </w:rPr>
        <w:t xml:space="preserve">National campaigns are a powerful, </w:t>
      </w:r>
      <w:proofErr w:type="gramStart"/>
      <w:r w:rsidRPr="005806F6">
        <w:rPr>
          <w:rFonts w:asciiTheme="minorHAnsi" w:hAnsiTheme="minorHAnsi"/>
          <w:b/>
          <w:bCs/>
          <w:sz w:val="20"/>
        </w:rPr>
        <w:t>cost-effective</w:t>
      </w:r>
      <w:proofErr w:type="gramEnd"/>
      <w:r w:rsidRPr="005806F6">
        <w:rPr>
          <w:rFonts w:asciiTheme="minorHAnsi" w:hAnsiTheme="minorHAnsi"/>
          <w:b/>
          <w:bCs/>
          <w:sz w:val="20"/>
        </w:rPr>
        <w:t xml:space="preserve"> and evidence-based way to shift national culture and behaviour.  </w:t>
      </w:r>
    </w:p>
    <w:p w14:paraId="484C632E" w14:textId="77777777" w:rsidR="006072E6" w:rsidRPr="00933303" w:rsidRDefault="006072E6" w:rsidP="006072E6">
      <w:pPr>
        <w:rPr>
          <w:b/>
          <w:bCs/>
          <w:sz w:val="22"/>
        </w:rPr>
      </w:pPr>
      <w:r w:rsidRPr="00933303">
        <w:rPr>
          <w:rFonts w:eastAsia="MS ??"/>
        </w:rPr>
        <w:t xml:space="preserve">A National Giving Campaign is the most powerful means we </w:t>
      </w:r>
      <w:proofErr w:type="gramStart"/>
      <w:r w:rsidRPr="00933303">
        <w:rPr>
          <w:rFonts w:eastAsia="MS ??"/>
        </w:rPr>
        <w:t>have to</w:t>
      </w:r>
      <w:proofErr w:type="gramEnd"/>
      <w:r w:rsidRPr="00933303">
        <w:rPr>
          <w:rFonts w:eastAsia="MS ??"/>
        </w:rPr>
        <w:t xml:space="preserve"> </w:t>
      </w:r>
      <w:r w:rsidRPr="00933303">
        <w:t>create a more generous and giving culture. Government has invested in national social campaigns in ways demonstrated to be cost effective in a suite of fields.  For relatively limited investment, the economic and social returns have been massive.  For instance, campaigns, often with associated tax and regulatory reform, have helped:</w:t>
      </w:r>
    </w:p>
    <w:p w14:paraId="3585B2DA" w14:textId="77777777" w:rsidR="006072E6" w:rsidRPr="00933303" w:rsidRDefault="006072E6" w:rsidP="00603E84">
      <w:pPr>
        <w:numPr>
          <w:ilvl w:val="0"/>
          <w:numId w:val="57"/>
        </w:numPr>
        <w:rPr>
          <w:b/>
          <w:bCs/>
          <w:sz w:val="22"/>
        </w:rPr>
      </w:pPr>
      <w:r w:rsidRPr="00933303">
        <w:rPr>
          <w:b/>
          <w:bCs/>
        </w:rPr>
        <w:t xml:space="preserve">Reduce skin cancer:  </w:t>
      </w:r>
      <w:r w:rsidRPr="00933303">
        <w:rPr>
          <w:i/>
          <w:iCs/>
        </w:rPr>
        <w:t xml:space="preserve">Slip, Slop, </w:t>
      </w:r>
      <w:proofErr w:type="gramStart"/>
      <w:r w:rsidRPr="00933303">
        <w:rPr>
          <w:i/>
          <w:iCs/>
        </w:rPr>
        <w:t>Slap</w:t>
      </w:r>
      <w:proofErr w:type="gramEnd"/>
      <w:r w:rsidRPr="00933303">
        <w:rPr>
          <w:i/>
          <w:iCs/>
        </w:rPr>
        <w:t xml:space="preserve"> </w:t>
      </w:r>
      <w:r w:rsidRPr="00933303">
        <w:t>and successor campaigns helped shift the behaviour of Australians to protecting themselves from the sun, and in turn, reduced morbidity and mortality from skin cancer.</w:t>
      </w:r>
      <w:bookmarkStart w:id="13" w:name="_Ref138171776"/>
      <w:r w:rsidRPr="00933303">
        <w:rPr>
          <w:vertAlign w:val="superscript"/>
        </w:rPr>
        <w:footnoteReference w:id="6"/>
      </w:r>
      <w:bookmarkEnd w:id="13"/>
      <w:r w:rsidRPr="00933303">
        <w:t xml:space="preserve">  </w:t>
      </w:r>
      <w:r w:rsidRPr="00933303">
        <w:rPr>
          <w:b/>
          <w:bCs/>
        </w:rPr>
        <w:tab/>
      </w:r>
    </w:p>
    <w:p w14:paraId="652B388C" w14:textId="77777777" w:rsidR="006072E6" w:rsidRPr="00933303" w:rsidRDefault="006072E6" w:rsidP="00603E84">
      <w:pPr>
        <w:numPr>
          <w:ilvl w:val="0"/>
          <w:numId w:val="59"/>
        </w:numPr>
        <w:rPr>
          <w:b/>
          <w:bCs/>
          <w:lang w:val="en-US"/>
        </w:rPr>
      </w:pPr>
      <w:r w:rsidRPr="00933303">
        <w:rPr>
          <w:b/>
          <w:bCs/>
          <w:lang w:val="en-US"/>
        </w:rPr>
        <w:lastRenderedPageBreak/>
        <w:t xml:space="preserve">Reduce heart disease: </w:t>
      </w:r>
      <w:r w:rsidRPr="00933303">
        <w:rPr>
          <w:lang w:val="en-US"/>
        </w:rPr>
        <w:t xml:space="preserve">Campaigns and information from The National Heart Foundation and preventative policies from across the health system have helped drastically reduce rates of </w:t>
      </w:r>
      <w:proofErr w:type="gramStart"/>
      <w:r w:rsidRPr="00933303">
        <w:rPr>
          <w:lang w:val="en-US"/>
        </w:rPr>
        <w:t>cardio-vascular</w:t>
      </w:r>
      <w:proofErr w:type="gramEnd"/>
      <w:r w:rsidRPr="00933303">
        <w:rPr>
          <w:lang w:val="en-US"/>
        </w:rPr>
        <w:t xml:space="preserve"> disease.  R</w:t>
      </w:r>
      <w:r w:rsidRPr="00933303">
        <w:t>ates of acute coronary events for persons aged 25 and over between 2001 and 2020 fell from 912 to 391 per 100,000 population for men, and from 462 to 172 for women.</w:t>
      </w:r>
    </w:p>
    <w:p w14:paraId="46254D84" w14:textId="77777777" w:rsidR="006072E6" w:rsidRPr="00933303" w:rsidRDefault="006072E6" w:rsidP="00603E84">
      <w:pPr>
        <w:numPr>
          <w:ilvl w:val="0"/>
          <w:numId w:val="59"/>
        </w:numPr>
        <w:rPr>
          <w:b/>
          <w:bCs/>
          <w:lang w:val="en-US"/>
        </w:rPr>
      </w:pPr>
      <w:r w:rsidRPr="00933303">
        <w:rPr>
          <w:b/>
          <w:bCs/>
          <w:lang w:val="en-US"/>
        </w:rPr>
        <w:t xml:space="preserve">HIV: </w:t>
      </w:r>
      <w:r w:rsidRPr="00933303">
        <w:rPr>
          <w:i/>
          <w:iCs/>
          <w:lang w:val="en-US"/>
        </w:rPr>
        <w:t>The Grim Reaper</w:t>
      </w:r>
      <w:r w:rsidRPr="00933303">
        <w:rPr>
          <w:lang w:val="en-US"/>
        </w:rPr>
        <w:t xml:space="preserve"> and successor campaigns have encouraged Australians to practice safe sex and get regularly tested,</w:t>
      </w:r>
      <w:r w:rsidRPr="00933303">
        <w:rPr>
          <w:b/>
          <w:bCs/>
          <w:lang w:val="en-US"/>
        </w:rPr>
        <w:t xml:space="preserve"> </w:t>
      </w:r>
      <w:r w:rsidRPr="00933303">
        <w:rPr>
          <w:lang w:val="en-US"/>
        </w:rPr>
        <w:t>helping to reduce the incidence of disease and death from HIV/AIDS.</w:t>
      </w:r>
    </w:p>
    <w:p w14:paraId="201BA80F" w14:textId="77777777" w:rsidR="006072E6" w:rsidRPr="00933303" w:rsidRDefault="006072E6" w:rsidP="00603E84">
      <w:pPr>
        <w:numPr>
          <w:ilvl w:val="0"/>
          <w:numId w:val="59"/>
        </w:numPr>
        <w:rPr>
          <w:b/>
          <w:bCs/>
          <w:lang w:val="en-US"/>
        </w:rPr>
      </w:pPr>
      <w:r w:rsidRPr="00933303">
        <w:rPr>
          <w:b/>
          <w:bCs/>
          <w:lang w:val="en-US"/>
        </w:rPr>
        <w:t xml:space="preserve">Depression: </w:t>
      </w:r>
      <w:r w:rsidRPr="00933303">
        <w:rPr>
          <w:lang w:val="en-US"/>
        </w:rPr>
        <w:t xml:space="preserve">Two decades of campaigning by Beyond Blue and others has helped shift our culture from one in which stigma prevented people from recognizing, </w:t>
      </w:r>
      <w:proofErr w:type="gramStart"/>
      <w:r w:rsidRPr="00933303">
        <w:rPr>
          <w:lang w:val="en-US"/>
        </w:rPr>
        <w:t>discussing</w:t>
      </w:r>
      <w:proofErr w:type="gramEnd"/>
      <w:r w:rsidRPr="00933303">
        <w:rPr>
          <w:lang w:val="en-US"/>
        </w:rPr>
        <w:t xml:space="preserve"> and seeking help for depression to one in which depression is much more openly discussed, and people talk and seek help when they need it.  </w:t>
      </w:r>
    </w:p>
    <w:p w14:paraId="600AF887" w14:textId="77777777" w:rsidR="006072E6" w:rsidRPr="00933303" w:rsidRDefault="006072E6" w:rsidP="00603E84">
      <w:pPr>
        <w:numPr>
          <w:ilvl w:val="0"/>
          <w:numId w:val="59"/>
        </w:numPr>
        <w:rPr>
          <w:b/>
          <w:bCs/>
          <w:lang w:val="en-US"/>
        </w:rPr>
      </w:pPr>
      <w:r w:rsidRPr="00933303">
        <w:rPr>
          <w:b/>
          <w:bCs/>
          <w:lang w:val="en-US"/>
        </w:rPr>
        <w:t>Lung cancer and smoking:</w:t>
      </w:r>
      <w:r w:rsidRPr="00933303">
        <w:rPr>
          <w:lang w:val="en-US"/>
        </w:rPr>
        <w:t xml:space="preserve"> Campaigns involving plain packaging, bold information on packs about the health impact of smoking, </w:t>
      </w:r>
      <w:proofErr w:type="gramStart"/>
      <w:r w:rsidRPr="00933303">
        <w:rPr>
          <w:lang w:val="en-US"/>
        </w:rPr>
        <w:t>information</w:t>
      </w:r>
      <w:proofErr w:type="gramEnd"/>
      <w:r w:rsidRPr="00933303">
        <w:rPr>
          <w:lang w:val="en-US"/>
        </w:rPr>
        <w:t xml:space="preserve"> and broader media campaigns (together with tax and regulatory settings) have helped to approximately halve the rate of daily smokers since the 1980s, saving hundreds of thousands of lives.  </w:t>
      </w:r>
    </w:p>
    <w:p w14:paraId="1FED2BE9" w14:textId="614E974C" w:rsidR="006072E6" w:rsidRPr="00933303" w:rsidRDefault="006072E6" w:rsidP="00603E84">
      <w:pPr>
        <w:numPr>
          <w:ilvl w:val="0"/>
          <w:numId w:val="59"/>
        </w:numPr>
        <w:rPr>
          <w:lang w:val="en-US"/>
        </w:rPr>
      </w:pPr>
      <w:r w:rsidRPr="00933303">
        <w:rPr>
          <w:b/>
          <w:bCs/>
          <w:lang w:val="en-US"/>
        </w:rPr>
        <w:t xml:space="preserve">Road deaths from speeding, drink driving and not wearing seatbelts: </w:t>
      </w:r>
      <w:r w:rsidRPr="00933303">
        <w:rPr>
          <w:lang w:val="en-US"/>
        </w:rPr>
        <w:t xml:space="preserve">Social campaigns, together with compulsory wearing of seatbelts, random breath testing, and 50 km/h residential street </w:t>
      </w:r>
      <w:r w:rsidR="00753415">
        <w:rPr>
          <w:lang w:val="en-US"/>
        </w:rPr>
        <w:t xml:space="preserve">limits </w:t>
      </w:r>
      <w:r w:rsidRPr="00933303">
        <w:rPr>
          <w:lang w:val="en-US"/>
        </w:rPr>
        <w:t xml:space="preserve">have reduced </w:t>
      </w:r>
      <w:r w:rsidR="00D52120">
        <w:rPr>
          <w:lang w:val="en-US"/>
        </w:rPr>
        <w:t xml:space="preserve">road deaths </w:t>
      </w:r>
      <w:r w:rsidRPr="00933303">
        <w:rPr>
          <w:lang w:val="en-US"/>
        </w:rPr>
        <w:t>from 30 per 100,000 population in 1970 to 4.3 per 100,000 in 2020.</w:t>
      </w:r>
      <w:r w:rsidRPr="00933303">
        <w:rPr>
          <w:vertAlign w:val="superscript"/>
          <w:lang w:val="en-US"/>
        </w:rPr>
        <w:footnoteReference w:id="7"/>
      </w:r>
    </w:p>
    <w:p w14:paraId="68BA4D74" w14:textId="77777777" w:rsidR="006072E6" w:rsidRPr="00933303" w:rsidRDefault="006072E6" w:rsidP="00603E84">
      <w:pPr>
        <w:pStyle w:val="ListParagraph"/>
        <w:numPr>
          <w:ilvl w:val="0"/>
          <w:numId w:val="58"/>
        </w:numPr>
        <w:spacing w:after="120"/>
        <w:rPr>
          <w:rFonts w:asciiTheme="minorHAnsi" w:hAnsiTheme="minorHAnsi"/>
          <w:b/>
          <w:bCs/>
          <w:sz w:val="20"/>
          <w:lang w:val="en-AU"/>
        </w:rPr>
      </w:pPr>
      <w:r w:rsidRPr="00933303">
        <w:rPr>
          <w:rFonts w:asciiTheme="minorHAnsi" w:hAnsiTheme="minorHAnsi"/>
          <w:sz w:val="20"/>
        </w:rPr>
        <w:t xml:space="preserve">The economic case for a National Giving Campaign, including evidence on the success of national campaigns, is provided in more detail in </w:t>
      </w:r>
      <w:r w:rsidRPr="00933303">
        <w:rPr>
          <w:rFonts w:asciiTheme="minorHAnsi" w:hAnsiTheme="minorHAnsi"/>
          <w:b/>
          <w:bCs/>
          <w:i/>
          <w:iCs/>
          <w:sz w:val="20"/>
          <w:lang w:val="en-AU"/>
        </w:rPr>
        <w:t>Philanthropy Australia Supplementary Submission: Is there a role for Government in supporting a National Giving Campaign?</w:t>
      </w:r>
      <w:r w:rsidRPr="00933303">
        <w:rPr>
          <w:rFonts w:asciiTheme="minorHAnsi" w:hAnsiTheme="minorHAnsi"/>
          <w:sz w:val="20"/>
          <w:lang w:val="en-AU"/>
        </w:rPr>
        <w:t xml:space="preserve">, available </w:t>
      </w:r>
      <w:hyperlink r:id="rId19" w:history="1">
        <w:r w:rsidRPr="00933303">
          <w:rPr>
            <w:rStyle w:val="Hyperlink"/>
            <w:rFonts w:asciiTheme="minorHAnsi" w:hAnsiTheme="minorHAnsi"/>
            <w:sz w:val="20"/>
            <w:lang w:val="en-AU"/>
          </w:rPr>
          <w:t>here</w:t>
        </w:r>
      </w:hyperlink>
      <w:r w:rsidRPr="00933303">
        <w:rPr>
          <w:rFonts w:asciiTheme="minorHAnsi" w:hAnsiTheme="minorHAnsi"/>
          <w:sz w:val="20"/>
          <w:lang w:val="en-AU"/>
        </w:rPr>
        <w:t>.</w:t>
      </w:r>
    </w:p>
    <w:p w14:paraId="4E3A43BD" w14:textId="77777777" w:rsidR="006072E6" w:rsidRPr="00933303" w:rsidRDefault="006072E6" w:rsidP="00603E84">
      <w:pPr>
        <w:pStyle w:val="ListParagraph"/>
        <w:numPr>
          <w:ilvl w:val="0"/>
          <w:numId w:val="58"/>
        </w:numPr>
        <w:spacing w:after="120"/>
        <w:rPr>
          <w:rFonts w:asciiTheme="minorHAnsi" w:hAnsiTheme="minorHAnsi"/>
          <w:b/>
          <w:bCs/>
          <w:sz w:val="20"/>
          <w:lang w:val="en-AU"/>
        </w:rPr>
      </w:pPr>
      <w:r w:rsidRPr="00933303">
        <w:rPr>
          <w:rFonts w:asciiTheme="minorHAnsi" w:hAnsiTheme="minorHAnsi"/>
          <w:sz w:val="20"/>
          <w:lang w:val="en-AU"/>
        </w:rPr>
        <w:t>As Charities Minister Andrew Leigh has said:</w:t>
      </w:r>
    </w:p>
    <w:p w14:paraId="2C459961" w14:textId="2335FE98" w:rsidR="006072E6" w:rsidRPr="0051031E" w:rsidRDefault="00333A16" w:rsidP="00255D31">
      <w:pPr>
        <w:shd w:val="clear" w:color="auto" w:fill="F5F9FD" w:themeFill="background2"/>
        <w:ind w:left="340"/>
        <w:rPr>
          <w:rFonts w:eastAsia="MS ??"/>
          <w:b/>
          <w:bCs/>
        </w:rPr>
      </w:pPr>
      <w:r>
        <w:rPr>
          <w:rFonts w:eastAsia="MS ??"/>
        </w:rPr>
        <w:t>‘</w:t>
      </w:r>
      <w:r w:rsidR="006072E6" w:rsidRPr="00933303">
        <w:rPr>
          <w:rFonts w:eastAsia="MS ??"/>
        </w:rPr>
        <w:t xml:space="preserve">There's </w:t>
      </w:r>
      <w:proofErr w:type="gramStart"/>
      <w:r w:rsidR="006072E6" w:rsidRPr="00933303">
        <w:rPr>
          <w:rFonts w:eastAsia="MS ??"/>
        </w:rPr>
        <w:t>a number of</w:t>
      </w:r>
      <w:proofErr w:type="gramEnd"/>
      <w:r w:rsidR="006072E6" w:rsidRPr="00933303">
        <w:rPr>
          <w:rFonts w:eastAsia="MS ??"/>
        </w:rPr>
        <w:t xml:space="preserve"> ways in which we might achieve that [double giving] goal, but one is to think about public awareness campaigns. Just as the </w:t>
      </w:r>
      <w:r w:rsidR="006072E6" w:rsidRPr="00933303">
        <w:rPr>
          <w:rFonts w:eastAsia="MS ??"/>
          <w:i/>
          <w:iCs/>
        </w:rPr>
        <w:t>Slip Slop Slap</w:t>
      </w:r>
      <w:r w:rsidR="006072E6" w:rsidRPr="00933303">
        <w:rPr>
          <w:rFonts w:eastAsia="MS ??"/>
        </w:rPr>
        <w:t xml:space="preserve"> campaign transformed attitudes to skin cancer or the Grim Reaper campaign raised awareness of HIV and AIDS, so too a public awareness campaign on giving could turn philanthropy not just from an elite activity, but into a mass </w:t>
      </w:r>
      <w:r w:rsidR="006072E6" w:rsidRPr="0051031E">
        <w:rPr>
          <w:rFonts w:eastAsia="MS ??"/>
        </w:rPr>
        <w:t>participation sport.</w:t>
      </w:r>
      <w:r w:rsidRPr="0051031E">
        <w:rPr>
          <w:rFonts w:eastAsia="MS ??"/>
        </w:rPr>
        <w:t>’</w:t>
      </w:r>
      <w:r w:rsidR="006072E6" w:rsidRPr="0051031E">
        <w:rPr>
          <w:rStyle w:val="FootnoteReference"/>
          <w:rFonts w:eastAsia="MS ??"/>
        </w:rPr>
        <w:footnoteReference w:id="8"/>
      </w:r>
    </w:p>
    <w:p w14:paraId="0519F16A" w14:textId="77777777" w:rsidR="006072E6" w:rsidRPr="0051031E" w:rsidRDefault="006072E6" w:rsidP="006072E6">
      <w:pPr>
        <w:pStyle w:val="ListParagraph"/>
        <w:numPr>
          <w:ilvl w:val="0"/>
          <w:numId w:val="19"/>
        </w:numPr>
        <w:spacing w:before="60" w:after="60" w:line="260" w:lineRule="atLeast"/>
        <w:rPr>
          <w:rFonts w:asciiTheme="minorHAnsi" w:hAnsiTheme="minorHAnsi"/>
          <w:sz w:val="20"/>
        </w:rPr>
      </w:pPr>
      <w:r w:rsidRPr="0051031E">
        <w:rPr>
          <w:rFonts w:asciiTheme="minorHAnsi" w:hAnsiTheme="minorHAnsi"/>
          <w:b/>
          <w:bCs/>
          <w:sz w:val="20"/>
        </w:rPr>
        <w:t>Australians</w:t>
      </w:r>
      <w:r w:rsidRPr="0051031E">
        <w:rPr>
          <w:rFonts w:asciiTheme="minorHAnsi" w:hAnsiTheme="minorHAnsi"/>
          <w:b/>
          <w:sz w:val="20"/>
        </w:rPr>
        <w:t xml:space="preserve"> can be generous people, but many of us have lost the giving habit.</w:t>
      </w:r>
    </w:p>
    <w:p w14:paraId="4F4F1472" w14:textId="12AE4EE3" w:rsidR="006072E6" w:rsidRPr="0051031E" w:rsidRDefault="00A14E6C" w:rsidP="00F3176E">
      <w:pPr>
        <w:numPr>
          <w:ilvl w:val="0"/>
          <w:numId w:val="60"/>
        </w:numPr>
        <w:spacing w:before="60" w:after="60" w:line="260" w:lineRule="atLeast"/>
        <w:rPr>
          <w:rFonts w:eastAsia="MS ??"/>
        </w:rPr>
      </w:pPr>
      <w:r w:rsidRPr="0051031E">
        <w:t xml:space="preserve">The </w:t>
      </w:r>
      <w:r w:rsidRPr="0051031E">
        <w:rPr>
          <w:rFonts w:eastAsia="MS ??"/>
        </w:rPr>
        <w:t>proportion</w:t>
      </w:r>
      <w:r w:rsidRPr="0051031E">
        <w:t xml:space="preserve"> of taxpayers claiming donations </w:t>
      </w:r>
      <w:r w:rsidR="007B55C8" w:rsidRPr="0051031E">
        <w:t xml:space="preserve">for giving </w:t>
      </w:r>
      <w:r w:rsidRPr="0051031E">
        <w:t>has fallen in every income bracket, and overall from 37% to 28% between 2010</w:t>
      </w:r>
      <w:r w:rsidRPr="0051031E">
        <w:rPr>
          <w:rFonts w:ascii="Times New Roman" w:hAnsi="Times New Roman"/>
        </w:rPr>
        <w:t>‑</w:t>
      </w:r>
      <w:r w:rsidRPr="0051031E">
        <w:t>11 to 2020-21</w:t>
      </w:r>
      <w:r w:rsidR="006072E6" w:rsidRPr="0051031E">
        <w:rPr>
          <w:rFonts w:eastAsia="MS ??"/>
        </w:rPr>
        <w:t xml:space="preserve">.  Just </w:t>
      </w:r>
      <w:r w:rsidR="008C350B" w:rsidRPr="0051031E">
        <w:t>49</w:t>
      </w:r>
      <w:r w:rsidR="006072E6" w:rsidRPr="0051031E">
        <w:rPr>
          <w:rFonts w:eastAsia="MS ??"/>
        </w:rPr>
        <w:t xml:space="preserve"> per cent of Australians on $1 million or more are giving and claiming deductions, compared to 90 per cent in the US.</w:t>
      </w:r>
    </w:p>
    <w:p w14:paraId="27D0484F" w14:textId="77777777" w:rsidR="006072E6" w:rsidRPr="0051031E" w:rsidRDefault="006072E6" w:rsidP="006072E6">
      <w:pPr>
        <w:pStyle w:val="ListParagraph"/>
        <w:numPr>
          <w:ilvl w:val="0"/>
          <w:numId w:val="19"/>
        </w:numPr>
        <w:spacing w:before="120" w:after="60" w:line="260" w:lineRule="atLeast"/>
        <w:rPr>
          <w:rFonts w:asciiTheme="minorHAnsi" w:hAnsiTheme="minorHAnsi"/>
          <w:b/>
          <w:sz w:val="20"/>
        </w:rPr>
      </w:pPr>
      <w:r w:rsidRPr="0051031E">
        <w:rPr>
          <w:rFonts w:asciiTheme="minorHAnsi" w:hAnsiTheme="minorHAnsi"/>
          <w:b/>
          <w:sz w:val="20"/>
        </w:rPr>
        <w:t xml:space="preserve">The campaign could unleash a major increase in </w:t>
      </w:r>
      <w:r w:rsidRPr="00CA774D">
        <w:rPr>
          <w:rFonts w:asciiTheme="minorHAnsi" w:hAnsiTheme="minorHAnsi"/>
          <w:bCs/>
          <w:sz w:val="20"/>
        </w:rPr>
        <w:t>donations</w:t>
      </w:r>
      <w:r w:rsidRPr="0051031E">
        <w:rPr>
          <w:rFonts w:asciiTheme="minorHAnsi" w:hAnsiTheme="minorHAnsi"/>
          <w:b/>
          <w:sz w:val="20"/>
        </w:rPr>
        <w:t xml:space="preserve"> among key target groups.</w:t>
      </w:r>
    </w:p>
    <w:p w14:paraId="7C72D1F1" w14:textId="6974CC15" w:rsidR="006072E6" w:rsidRPr="00933303" w:rsidRDefault="006072E6" w:rsidP="00603E84">
      <w:pPr>
        <w:numPr>
          <w:ilvl w:val="0"/>
          <w:numId w:val="60"/>
        </w:numPr>
        <w:spacing w:before="60" w:after="60" w:line="260" w:lineRule="atLeast"/>
        <w:rPr>
          <w:rFonts w:eastAsia="MS ??"/>
        </w:rPr>
      </w:pPr>
      <w:r w:rsidRPr="0051031E">
        <w:rPr>
          <w:rFonts w:eastAsia="MS ??"/>
          <w:b/>
          <w:bCs/>
        </w:rPr>
        <w:t>Wealthy Australians:</w:t>
      </w:r>
      <w:r w:rsidRPr="0051031E">
        <w:rPr>
          <w:rFonts w:eastAsia="MS ??"/>
        </w:rPr>
        <w:t xml:space="preserve"> Wealth is rising rapidly at the top end of Australian society – for instance,</w:t>
      </w:r>
      <w:r w:rsidRPr="00933303">
        <w:rPr>
          <w:rFonts w:eastAsia="MS ??"/>
        </w:rPr>
        <w:t xml:space="preserve"> wealth among ‘The Top 200’ has risen from $209 billion to $563 billion between 2016 and 2023.  There are over 20,800 ultra-high net worth individuals ($30m plus net wealth), and hundreds of thousands more with substantial wealth</w:t>
      </w:r>
      <w:r w:rsidR="00333A16">
        <w:rPr>
          <w:rFonts w:eastAsia="MS ??"/>
        </w:rPr>
        <w:t>.</w:t>
      </w:r>
      <w:r w:rsidRPr="00933303">
        <w:rPr>
          <w:rFonts w:eastAsia="MS ??"/>
        </w:rPr>
        <w:t xml:space="preserve"> Some give substantially, but most do not.  Creating a culture where all high-net-worth individuals are expected to give substantially, would go a long way to Australia doubling its rate of giving. The call to action for this group should involve structured giving – setting up a Private Ancillary Fund or a Sub-Fund.  </w:t>
      </w:r>
    </w:p>
    <w:p w14:paraId="5BED032F" w14:textId="77777777" w:rsidR="006072E6" w:rsidRPr="00933303" w:rsidRDefault="006072E6" w:rsidP="00603E84">
      <w:pPr>
        <w:numPr>
          <w:ilvl w:val="0"/>
          <w:numId w:val="60"/>
        </w:numPr>
        <w:spacing w:before="60" w:after="60" w:line="260" w:lineRule="atLeast"/>
        <w:rPr>
          <w:rFonts w:eastAsia="MS ??"/>
        </w:rPr>
      </w:pPr>
      <w:r w:rsidRPr="00933303">
        <w:rPr>
          <w:rFonts w:eastAsia="MS ??"/>
          <w:b/>
          <w:bCs/>
        </w:rPr>
        <w:t>Mass market giving and volunteering:</w:t>
      </w:r>
      <w:r w:rsidRPr="00933303">
        <w:rPr>
          <w:rFonts w:eastAsia="MS ??"/>
        </w:rPr>
        <w:t xml:space="preserve"> Appealing to all Australians is critical as the mass market is responsible for around one half of all individual giving.  Encouraging people to volunteer, as well as give, is important, as volunteering is worth more than all other sources of giving combined and is critical to creating engaged communities.  The call to action here might be regular giving and/or volunteering.  </w:t>
      </w:r>
    </w:p>
    <w:p w14:paraId="2EA00D00" w14:textId="77777777" w:rsidR="006072E6" w:rsidRPr="00933303" w:rsidRDefault="006072E6" w:rsidP="00603E84">
      <w:pPr>
        <w:numPr>
          <w:ilvl w:val="0"/>
          <w:numId w:val="60"/>
        </w:numPr>
        <w:spacing w:before="60" w:after="60" w:line="260" w:lineRule="atLeast"/>
        <w:rPr>
          <w:rFonts w:eastAsia="MS ??"/>
        </w:rPr>
      </w:pPr>
      <w:r w:rsidRPr="00933303">
        <w:rPr>
          <w:rFonts w:eastAsia="MS ??"/>
          <w:b/>
          <w:bCs/>
        </w:rPr>
        <w:lastRenderedPageBreak/>
        <w:t>Business and workplace giving:</w:t>
      </w:r>
      <w:r w:rsidRPr="00933303">
        <w:rPr>
          <w:rFonts w:eastAsia="MS ??"/>
        </w:rPr>
        <w:t xml:space="preserve"> With business profits running at around $500 billion annually – and corporate giving at 0.78 per cent of profit among our Top 50 corporates running behind some comparable countries – lifting business and workplace giving is another key avenue to doubling giving.  The call to action could be to </w:t>
      </w:r>
      <w:hyperlink r:id="rId20" w:history="1">
        <w:r w:rsidRPr="00933303">
          <w:rPr>
            <w:rFonts w:eastAsiaTheme="majorEastAsia"/>
            <w:color w:val="3D7EDB" w:themeColor="hyperlink"/>
            <w:u w:val="single"/>
          </w:rPr>
          <w:t>Pledge One Percent</w:t>
        </w:r>
      </w:hyperlink>
      <w:r w:rsidRPr="00933303">
        <w:rPr>
          <w:rFonts w:eastAsia="MS ??"/>
        </w:rPr>
        <w:t xml:space="preserve"> – of equity, profit, time and/or product – and facilitate and match workplace giving by employees.  </w:t>
      </w:r>
    </w:p>
    <w:p w14:paraId="4D1F7431" w14:textId="77777777" w:rsidR="006072E6" w:rsidRPr="00603E84" w:rsidRDefault="006072E6" w:rsidP="00603E84">
      <w:pPr>
        <w:numPr>
          <w:ilvl w:val="0"/>
          <w:numId w:val="60"/>
        </w:numPr>
        <w:spacing w:before="60" w:after="60" w:line="260" w:lineRule="atLeast"/>
        <w:rPr>
          <w:rFonts w:eastAsia="MS ??"/>
        </w:rPr>
      </w:pPr>
      <w:r w:rsidRPr="00933303">
        <w:rPr>
          <w:rFonts w:eastAsia="MS ??"/>
          <w:b/>
          <w:bCs/>
        </w:rPr>
        <w:t>Financial and legal advisers:</w:t>
      </w:r>
      <w:r w:rsidRPr="00933303">
        <w:rPr>
          <w:rFonts w:eastAsia="MS ??"/>
        </w:rPr>
        <w:t xml:space="preserve"> Financial advisers and accountants advise Australians, including wealthy Australians, on how best to use trillions in wealth, but relatively few raise the option of philanthropy.  Similarly, estate lawyers advise clients on wills, but generally don’t engage on the option of philanthropic bequests – just 7 per cent of wills in Australia include a philanthropic bequest.  The call to action here could be for financial and legal advisers to engage their clients on the option of philanthropy, both to create a better world and to strengthen the sustainability of their </w:t>
      </w:r>
      <w:r w:rsidRPr="00603E84">
        <w:rPr>
          <w:rFonts w:eastAsia="MS ??"/>
        </w:rPr>
        <w:t xml:space="preserve">client relationships.  </w:t>
      </w:r>
    </w:p>
    <w:p w14:paraId="4AB968AC" w14:textId="77777777" w:rsidR="006072E6" w:rsidRPr="00603E84" w:rsidRDefault="006072E6" w:rsidP="006072E6">
      <w:pPr>
        <w:pStyle w:val="ListParagraph"/>
        <w:numPr>
          <w:ilvl w:val="0"/>
          <w:numId w:val="19"/>
        </w:numPr>
        <w:spacing w:before="60" w:after="60" w:line="260" w:lineRule="atLeast"/>
        <w:rPr>
          <w:rFonts w:asciiTheme="minorHAnsi" w:hAnsiTheme="minorHAnsi"/>
          <w:b/>
          <w:bCs/>
          <w:sz w:val="20"/>
        </w:rPr>
      </w:pPr>
      <w:r w:rsidRPr="00603E84">
        <w:rPr>
          <w:rFonts w:asciiTheme="minorHAnsi" w:hAnsiTheme="minorHAnsi"/>
          <w:b/>
          <w:bCs/>
          <w:sz w:val="20"/>
        </w:rPr>
        <w:t>Australians have shown time and again they can rise to the occasion.</w:t>
      </w:r>
    </w:p>
    <w:p w14:paraId="45F16567" w14:textId="77777777" w:rsidR="006072E6" w:rsidRPr="00603E84" w:rsidRDefault="006072E6" w:rsidP="00603E84">
      <w:pPr>
        <w:pStyle w:val="ListParagraph"/>
        <w:numPr>
          <w:ilvl w:val="0"/>
          <w:numId w:val="61"/>
        </w:numPr>
        <w:spacing w:before="60" w:after="60" w:line="260" w:lineRule="atLeast"/>
        <w:rPr>
          <w:rFonts w:asciiTheme="minorHAnsi" w:hAnsiTheme="minorHAnsi"/>
          <w:sz w:val="20"/>
        </w:rPr>
      </w:pPr>
      <w:r w:rsidRPr="00603E84">
        <w:rPr>
          <w:rFonts w:asciiTheme="minorHAnsi" w:hAnsiTheme="minorHAnsi"/>
          <w:sz w:val="20"/>
        </w:rPr>
        <w:t>Across our history, Australians have repeatedly shown their generosity in response to crucial events, such as the community volunteering and financial support provided for the 2019-20 bushfires.  Reminded again of the great causes they can support, Australians will rally.</w:t>
      </w:r>
    </w:p>
    <w:p w14:paraId="58CBEEDE" w14:textId="77777777" w:rsidR="006072E6" w:rsidRPr="00603E84" w:rsidRDefault="006072E6" w:rsidP="006072E6">
      <w:pPr>
        <w:numPr>
          <w:ilvl w:val="0"/>
          <w:numId w:val="19"/>
        </w:numPr>
        <w:spacing w:before="60" w:after="60" w:line="260" w:lineRule="atLeast"/>
        <w:rPr>
          <w:rFonts w:eastAsia="MS ??"/>
          <w:b/>
          <w:bCs/>
        </w:rPr>
      </w:pPr>
      <w:r w:rsidRPr="00603E84">
        <w:rPr>
          <w:rFonts w:eastAsia="MS ??"/>
          <w:b/>
          <w:bCs/>
        </w:rPr>
        <w:t>The Campaign would be popular with the Australian people.</w:t>
      </w:r>
    </w:p>
    <w:p w14:paraId="22979B4F" w14:textId="77777777" w:rsidR="006072E6" w:rsidRPr="00603E84" w:rsidRDefault="006072E6" w:rsidP="00603E84">
      <w:pPr>
        <w:pStyle w:val="ListParagraph"/>
        <w:numPr>
          <w:ilvl w:val="0"/>
          <w:numId w:val="62"/>
        </w:numPr>
        <w:spacing w:before="60" w:after="60" w:line="260" w:lineRule="atLeast"/>
        <w:rPr>
          <w:rFonts w:asciiTheme="minorHAnsi" w:hAnsiTheme="minorHAnsi"/>
          <w:sz w:val="20"/>
        </w:rPr>
      </w:pPr>
      <w:r w:rsidRPr="00603E84">
        <w:rPr>
          <w:rFonts w:asciiTheme="minorHAnsi" w:hAnsiTheme="minorHAnsi"/>
          <w:sz w:val="20"/>
        </w:rPr>
        <w:t>Polling of more than 2,500 Australians by Redbridge in November 2022 indicates a grassroots campaign led by not-for-profits would be popular with the Australian people, with: 65 per cent supporting the proposal; 7.1 per cent opposed; and 27.8 per cent neutral or not sure.</w:t>
      </w:r>
      <w:r w:rsidRPr="00603E84">
        <w:rPr>
          <w:rFonts w:asciiTheme="minorHAnsi" w:eastAsia="Calibri" w:hAnsiTheme="minorHAnsi"/>
          <w:sz w:val="20"/>
          <w:vertAlign w:val="superscript"/>
        </w:rPr>
        <w:footnoteReference w:id="9"/>
      </w:r>
    </w:p>
    <w:p w14:paraId="2D2DE551" w14:textId="311BBE7B" w:rsidR="006072E6" w:rsidRPr="00933303" w:rsidRDefault="006072E6" w:rsidP="006072E6">
      <w:pPr>
        <w:numPr>
          <w:ilvl w:val="0"/>
          <w:numId w:val="8"/>
        </w:numPr>
        <w:spacing w:before="60" w:after="60" w:line="260" w:lineRule="atLeast"/>
        <w:ind w:left="340"/>
        <w:rPr>
          <w:rFonts w:eastAsia="MS ??"/>
        </w:rPr>
      </w:pPr>
      <w:r w:rsidRPr="00603E84">
        <w:rPr>
          <w:rFonts w:eastAsia="Calibri"/>
        </w:rPr>
        <w:t>Focus groups and polling conducted by Redbridge highlighted the importance of the Campaign</w:t>
      </w:r>
      <w:r w:rsidRPr="00933303">
        <w:rPr>
          <w:rFonts w:eastAsia="Calibri"/>
        </w:rPr>
        <w:t xml:space="preserve"> being led by </w:t>
      </w:r>
      <w:r w:rsidRPr="00933303">
        <w:rPr>
          <w:rFonts w:eastAsia="MS ??"/>
        </w:rPr>
        <w:t>not-for-profits to give people information on why and how to give, empowering them to make their own choices.  Unfavourable responses were ma</w:t>
      </w:r>
      <w:r w:rsidR="00227857" w:rsidRPr="00933303">
        <w:rPr>
          <w:rFonts w:eastAsia="MS ??"/>
        </w:rPr>
        <w:t>de</w:t>
      </w:r>
      <w:r w:rsidRPr="00933303">
        <w:rPr>
          <w:rFonts w:eastAsia="MS ??"/>
        </w:rPr>
        <w:t xml:space="preserve"> where the proposal was perceived as a glossy, government-led campaign, seen as telling citizens what to do.</w:t>
      </w:r>
    </w:p>
    <w:p w14:paraId="4DBA5B63" w14:textId="77777777" w:rsidR="006072E6" w:rsidRPr="00933303" w:rsidRDefault="006072E6">
      <w:pPr>
        <w:spacing w:before="200" w:after="200" w:line="260" w:lineRule="atLeast"/>
        <w:rPr>
          <w:rFonts w:eastAsiaTheme="majorEastAsia" w:cstheme="majorBidi"/>
          <w:b/>
          <w:bCs/>
          <w:color w:val="3D7EDB" w:themeColor="accent1"/>
          <w:sz w:val="24"/>
          <w:szCs w:val="24"/>
        </w:rPr>
      </w:pPr>
      <w:r w:rsidRPr="00933303">
        <w:br w:type="page"/>
      </w:r>
    </w:p>
    <w:p w14:paraId="7CF10318" w14:textId="5CFF6B0B" w:rsidR="00E5263D" w:rsidRPr="00933303" w:rsidRDefault="00E5263D" w:rsidP="0093465B">
      <w:pPr>
        <w:pStyle w:val="Heading2NoNumbering"/>
        <w:numPr>
          <w:ilvl w:val="0"/>
          <w:numId w:val="26"/>
        </w:numPr>
        <w:rPr>
          <w:rFonts w:asciiTheme="minorHAnsi" w:hAnsiTheme="minorHAnsi"/>
        </w:rPr>
      </w:pPr>
      <w:bookmarkStart w:id="14" w:name="_Toc153841132"/>
      <w:r w:rsidRPr="00933303">
        <w:rPr>
          <w:rFonts w:asciiTheme="minorHAnsi" w:hAnsiTheme="minorHAnsi"/>
        </w:rPr>
        <w:lastRenderedPageBreak/>
        <w:t>Growing our national network of Community Foundations.</w:t>
      </w:r>
      <w:bookmarkEnd w:id="14"/>
    </w:p>
    <w:tbl>
      <w:tblPr>
        <w:tblStyle w:val="PullOutTable"/>
        <w:tblW w:w="0" w:type="auto"/>
        <w:tblInd w:w="-289" w:type="dxa"/>
        <w:tblBorders>
          <w:insideH w:val="single" w:sz="4" w:space="0" w:color="F5F9FD" w:themeColor="background2"/>
          <w:insideV w:val="single" w:sz="4" w:space="0" w:color="F5F9FD" w:themeColor="background2"/>
        </w:tblBorders>
        <w:shd w:val="clear" w:color="auto" w:fill="E3F5FA" w:themeFill="accent2" w:themeFillTint="33"/>
        <w:tblLook w:val="04A0" w:firstRow="1" w:lastRow="0" w:firstColumn="1" w:lastColumn="0" w:noHBand="0" w:noVBand="1"/>
      </w:tblPr>
      <w:tblGrid>
        <w:gridCol w:w="9628"/>
      </w:tblGrid>
      <w:tr w:rsidR="009C0344" w:rsidRPr="00933303" w14:paraId="7EBB6EB6" w14:textId="77777777" w:rsidTr="00DF49C9">
        <w:tc>
          <w:tcPr>
            <w:tcW w:w="9628" w:type="dxa"/>
            <w:shd w:val="clear" w:color="auto" w:fill="E3F5FA" w:themeFill="accent2" w:themeFillTint="33"/>
          </w:tcPr>
          <w:p w14:paraId="7E1C1874" w14:textId="77777777" w:rsidR="009C0344" w:rsidRPr="00933303" w:rsidRDefault="009C0344" w:rsidP="00AC0F50">
            <w:pPr>
              <w:pStyle w:val="Heading4"/>
              <w:rPr>
                <w:rFonts w:asciiTheme="minorHAnsi" w:hAnsiTheme="minorHAnsi"/>
              </w:rPr>
            </w:pPr>
            <w:r w:rsidRPr="00933303">
              <w:rPr>
                <w:rFonts w:asciiTheme="minorHAnsi" w:hAnsiTheme="minorHAnsi"/>
              </w:rPr>
              <w:t>The Reform</w:t>
            </w:r>
          </w:p>
          <w:p w14:paraId="16E30644" w14:textId="5F064498" w:rsidR="009C0344" w:rsidRPr="00933303" w:rsidRDefault="00A77B2E" w:rsidP="001A19F0">
            <w:pPr>
              <w:pStyle w:val="ListNumber2"/>
              <w:rPr>
                <w:b/>
                <w:bCs/>
                <w:color w:val="auto"/>
                <w:u w:val="single"/>
              </w:rPr>
            </w:pPr>
            <w:r w:rsidRPr="00933303">
              <w:rPr>
                <w:b/>
                <w:bCs/>
              </w:rPr>
              <w:t>Establish a strategy and specific reforms to grow Australia’s community foundation network</w:t>
            </w:r>
            <w:r w:rsidR="00312EF6" w:rsidRPr="00933303">
              <w:rPr>
                <w:b/>
                <w:bCs/>
              </w:rPr>
              <w:t xml:space="preserve">.  </w:t>
            </w:r>
            <w:r w:rsidR="006C21E3" w:rsidRPr="00933303">
              <w:t xml:space="preserve">As </w:t>
            </w:r>
            <w:r w:rsidR="00312EF6" w:rsidRPr="00933303">
              <w:t xml:space="preserve">outlined in detail in work done by PA and </w:t>
            </w:r>
            <w:r w:rsidR="001F4AF0" w:rsidRPr="00933303">
              <w:t>Community Foundations Australia (</w:t>
            </w:r>
            <w:r w:rsidR="00312EF6" w:rsidRPr="00933303">
              <w:t>CFA</w:t>
            </w:r>
            <w:r w:rsidR="001F4AF0" w:rsidRPr="00933303">
              <w:t>)</w:t>
            </w:r>
            <w:r w:rsidR="00312EF6" w:rsidRPr="00933303">
              <w:t xml:space="preserve"> with support from Social Ventures Australia in</w:t>
            </w:r>
            <w:r w:rsidR="00312EF6" w:rsidRPr="00933303">
              <w:rPr>
                <w:b/>
                <w:bCs/>
              </w:rPr>
              <w:t xml:space="preserve"> </w:t>
            </w:r>
            <w:r w:rsidR="00312EF6" w:rsidRPr="00933303">
              <w:rPr>
                <w:b/>
                <w:bCs/>
                <w:i/>
                <w:iCs/>
              </w:rPr>
              <w:t>The opportunity to grow Australia’s community foundation network: A strategic roadmap</w:t>
            </w:r>
            <w:r w:rsidR="00312EF6" w:rsidRPr="00933303">
              <w:rPr>
                <w:i/>
                <w:iCs/>
              </w:rPr>
              <w:t xml:space="preserve">, </w:t>
            </w:r>
            <w:r w:rsidR="00312EF6" w:rsidRPr="00933303">
              <w:rPr>
                <w:lang w:val="en-US"/>
              </w:rPr>
              <w:t xml:space="preserve">available </w:t>
            </w:r>
            <w:hyperlink r:id="rId21" w:history="1">
              <w:r w:rsidR="00312EF6" w:rsidRPr="00933303">
                <w:rPr>
                  <w:rStyle w:val="Hyperlink"/>
                  <w:lang w:val="en-US"/>
                </w:rPr>
                <w:t>here</w:t>
              </w:r>
            </w:hyperlink>
            <w:r w:rsidR="00C57641" w:rsidRPr="00933303">
              <w:rPr>
                <w:rStyle w:val="Hyperlink"/>
                <w:u w:val="none"/>
                <w:lang w:val="en-US"/>
              </w:rPr>
              <w:t>,</w:t>
            </w:r>
            <w:r w:rsidR="00A14D07" w:rsidRPr="00933303">
              <w:rPr>
                <w:rStyle w:val="Hyperlink"/>
                <w:color w:val="auto"/>
                <w:u w:val="none"/>
                <w:lang w:val="en-US"/>
              </w:rPr>
              <w:t xml:space="preserve"> this should include:</w:t>
            </w:r>
          </w:p>
          <w:p w14:paraId="2A8F5890" w14:textId="68DFFAA6" w:rsidR="002F5967" w:rsidRPr="00933303" w:rsidRDefault="002F5967" w:rsidP="00FE6D72">
            <w:pPr>
              <w:pStyle w:val="ListNumber2"/>
              <w:numPr>
                <w:ilvl w:val="0"/>
                <w:numId w:val="41"/>
              </w:numPr>
              <w:rPr>
                <w:b/>
                <w:bCs/>
              </w:rPr>
            </w:pPr>
            <w:r w:rsidRPr="00933303">
              <w:rPr>
                <w:b/>
                <w:bCs/>
              </w:rPr>
              <w:t>An overall aspiration</w:t>
            </w:r>
            <w:r w:rsidR="00070860" w:rsidRPr="00933303">
              <w:rPr>
                <w:b/>
                <w:bCs/>
              </w:rPr>
              <w:t xml:space="preserve">: </w:t>
            </w:r>
            <w:r w:rsidR="00070860" w:rsidRPr="00933303">
              <w:rPr>
                <w:lang w:val="en-US"/>
              </w:rPr>
              <w:t>Between 2021 and 2030, increasing: funds under management from $500 million to $1 billion; annual grantmaking from $40 million to $100 million; and the proportion of Australians covered by Community Foundations from 60 to 90%.</w:t>
            </w:r>
          </w:p>
          <w:p w14:paraId="3B01282C" w14:textId="77777777" w:rsidR="00BD44C9" w:rsidRPr="00933303" w:rsidRDefault="00BD44C9" w:rsidP="00603E84">
            <w:pPr>
              <w:pStyle w:val="ListNumber2"/>
              <w:numPr>
                <w:ilvl w:val="0"/>
                <w:numId w:val="41"/>
              </w:numPr>
              <w:rPr>
                <w:b/>
                <w:bCs/>
              </w:rPr>
            </w:pPr>
            <w:r w:rsidRPr="00933303">
              <w:rPr>
                <w:b/>
                <w:bCs/>
              </w:rPr>
              <w:t>Reforms to strengthen the existing network of Community Foundations, including:</w:t>
            </w:r>
          </w:p>
          <w:p w14:paraId="17D89367" w14:textId="3809FC01" w:rsidR="001757E8" w:rsidRPr="00933303" w:rsidRDefault="001757E8" w:rsidP="00603E84">
            <w:pPr>
              <w:pStyle w:val="ListNumber2"/>
              <w:numPr>
                <w:ilvl w:val="0"/>
                <w:numId w:val="36"/>
              </w:numPr>
            </w:pPr>
            <w:r w:rsidRPr="00933303">
              <w:rPr>
                <w:b/>
                <w:bCs/>
              </w:rPr>
              <w:t>Time</w:t>
            </w:r>
            <w:r w:rsidR="00CE7E33" w:rsidRPr="00933303">
              <w:rPr>
                <w:b/>
                <w:bCs/>
              </w:rPr>
              <w:t>-</w:t>
            </w:r>
            <w:r w:rsidRPr="00933303">
              <w:rPr>
                <w:b/>
                <w:bCs/>
              </w:rPr>
              <w:t xml:space="preserve">limited operational and matched funding </w:t>
            </w:r>
            <w:r w:rsidR="000126E3" w:rsidRPr="00933303">
              <w:rPr>
                <w:b/>
                <w:bCs/>
              </w:rPr>
              <w:t>for the existing n</w:t>
            </w:r>
            <w:r w:rsidR="00C27E0B" w:rsidRPr="00933303">
              <w:rPr>
                <w:b/>
                <w:bCs/>
              </w:rPr>
              <w:t xml:space="preserve">ational network of 40 Community Foundations: </w:t>
            </w:r>
            <w:r w:rsidR="002E08E5" w:rsidRPr="00933303">
              <w:t xml:space="preserve">Support to </w:t>
            </w:r>
            <w:r w:rsidR="00C332B4" w:rsidRPr="00933303">
              <w:t xml:space="preserve">help all Community Foundations grow to </w:t>
            </w:r>
            <w:r w:rsidR="00FE776D" w:rsidRPr="00933303">
              <w:t>a minimum sustainable size of around $5 million can ensure</w:t>
            </w:r>
            <w:r w:rsidR="00A949EF" w:rsidRPr="00933303">
              <w:t xml:space="preserve"> all foundations </w:t>
            </w:r>
            <w:r w:rsidR="003623D3" w:rsidRPr="00933303">
              <w:t xml:space="preserve">have paid staff, </w:t>
            </w:r>
            <w:r w:rsidR="00A949EF" w:rsidRPr="00933303">
              <w:t xml:space="preserve">provide </w:t>
            </w:r>
            <w:r w:rsidR="009E219E" w:rsidRPr="00933303">
              <w:t xml:space="preserve">a suite of high impact initiatives, and </w:t>
            </w:r>
            <w:r w:rsidR="003623D3" w:rsidRPr="00933303">
              <w:t xml:space="preserve">are </w:t>
            </w:r>
            <w:r w:rsidR="009E219E" w:rsidRPr="00933303">
              <w:t xml:space="preserve">positioned to drive long term, sustainable growth.  Catalytic matched funding can support </w:t>
            </w:r>
            <w:r w:rsidR="00AB5BB2" w:rsidRPr="00933303">
              <w:t xml:space="preserve">foundations to </w:t>
            </w:r>
            <w:r w:rsidR="009E219E" w:rsidRPr="00933303">
              <w:t>reach this benchmark size, while incentivising the network to promote their work, engage the community and fundraise locally.</w:t>
            </w:r>
          </w:p>
          <w:p w14:paraId="2423E339" w14:textId="0816856A" w:rsidR="00931979" w:rsidRPr="00933303" w:rsidRDefault="00931979" w:rsidP="00603E84">
            <w:pPr>
              <w:pStyle w:val="ListNumber2"/>
              <w:numPr>
                <w:ilvl w:val="0"/>
                <w:numId w:val="36"/>
              </w:numPr>
              <w:rPr>
                <w:b/>
                <w:bCs/>
              </w:rPr>
            </w:pPr>
            <w:r w:rsidRPr="00933303">
              <w:rPr>
                <w:b/>
                <w:bCs/>
              </w:rPr>
              <w:t>Time-limited funding to strengthen the peak body, Community Foundations Australia</w:t>
            </w:r>
            <w:r w:rsidR="0013331C" w:rsidRPr="00933303">
              <w:rPr>
                <w:b/>
                <w:bCs/>
              </w:rPr>
              <w:t xml:space="preserve"> (CFA)</w:t>
            </w:r>
            <w:r w:rsidRPr="00933303">
              <w:rPr>
                <w:b/>
                <w:bCs/>
              </w:rPr>
              <w:t>.</w:t>
            </w:r>
            <w:r w:rsidR="00016339" w:rsidRPr="00933303">
              <w:rPr>
                <w:b/>
                <w:bCs/>
              </w:rPr>
              <w:t xml:space="preserve">  </w:t>
            </w:r>
            <w:r w:rsidR="001D5699" w:rsidRPr="00933303">
              <w:t>$3 million over six years a</w:t>
            </w:r>
            <w:r w:rsidR="00016339" w:rsidRPr="00933303">
              <w:t xml:space="preserve">nd DGR 1 status would position CFA to: work with government on the roll out of this package of reforms; </w:t>
            </w:r>
            <w:r w:rsidR="00122028" w:rsidRPr="00933303">
              <w:t xml:space="preserve">and </w:t>
            </w:r>
            <w:r w:rsidR="00016339" w:rsidRPr="00933303">
              <w:t>support the network – particularly new foundations – to achieve sustainable growth</w:t>
            </w:r>
            <w:r w:rsidR="001E03DA" w:rsidRPr="00933303">
              <w:t>.</w:t>
            </w:r>
          </w:p>
          <w:p w14:paraId="6AC051E9" w14:textId="466565DA" w:rsidR="006C2B9C" w:rsidRPr="00933303" w:rsidRDefault="00861135" w:rsidP="00603E84">
            <w:pPr>
              <w:pStyle w:val="ListNumber2"/>
              <w:numPr>
                <w:ilvl w:val="0"/>
                <w:numId w:val="41"/>
              </w:numPr>
              <w:rPr>
                <w:b/>
                <w:bCs/>
              </w:rPr>
            </w:pPr>
            <w:r w:rsidRPr="00933303">
              <w:rPr>
                <w:b/>
                <w:bCs/>
              </w:rPr>
              <w:t>Reforms to catalyse new foundations, including:</w:t>
            </w:r>
          </w:p>
          <w:p w14:paraId="7200D3F2" w14:textId="2E47A68E" w:rsidR="00861135" w:rsidRPr="00933303" w:rsidRDefault="00861135" w:rsidP="00603E84">
            <w:pPr>
              <w:pStyle w:val="ListNumber2"/>
              <w:numPr>
                <w:ilvl w:val="0"/>
                <w:numId w:val="36"/>
              </w:numPr>
              <w:rPr>
                <w:b/>
                <w:bCs/>
              </w:rPr>
            </w:pPr>
            <w:r w:rsidRPr="00933303">
              <w:rPr>
                <w:b/>
                <w:bCs/>
              </w:rPr>
              <w:t xml:space="preserve">Streamlined access to DGR 1 for any new </w:t>
            </w:r>
            <w:r w:rsidR="00FC1917" w:rsidRPr="00933303">
              <w:rPr>
                <w:b/>
                <w:bCs/>
              </w:rPr>
              <w:t>C</w:t>
            </w:r>
            <w:r w:rsidRPr="00933303">
              <w:rPr>
                <w:b/>
                <w:bCs/>
              </w:rPr>
              <w:t xml:space="preserve">ommunity </w:t>
            </w:r>
            <w:r w:rsidR="00FC1917" w:rsidRPr="00933303">
              <w:rPr>
                <w:b/>
                <w:bCs/>
              </w:rPr>
              <w:t>F</w:t>
            </w:r>
            <w:r w:rsidRPr="00933303">
              <w:rPr>
                <w:b/>
                <w:bCs/>
              </w:rPr>
              <w:t xml:space="preserve">oundations: </w:t>
            </w:r>
            <w:r w:rsidR="00730139" w:rsidRPr="00933303">
              <w:t>The Government’s current work to provide access to DGR 1 for existing Community Foundations should also ensure streamlined access is provided to new foundations in the future.</w:t>
            </w:r>
          </w:p>
          <w:p w14:paraId="7EC8F712" w14:textId="124FBF4C" w:rsidR="009C0344" w:rsidRPr="00933303" w:rsidRDefault="00FC1917" w:rsidP="00603E84">
            <w:pPr>
              <w:pStyle w:val="ListNumber2"/>
              <w:numPr>
                <w:ilvl w:val="0"/>
                <w:numId w:val="36"/>
              </w:numPr>
              <w:rPr>
                <w:b/>
                <w:bCs/>
              </w:rPr>
            </w:pPr>
            <w:r w:rsidRPr="00933303">
              <w:rPr>
                <w:b/>
                <w:bCs/>
              </w:rPr>
              <w:t>Seed and matched funding to create 20 new Community Foundations in priority locations.</w:t>
            </w:r>
            <w:r w:rsidR="00B51A02" w:rsidRPr="00933303">
              <w:rPr>
                <w:b/>
                <w:bCs/>
              </w:rPr>
              <w:t xml:space="preserve">  </w:t>
            </w:r>
            <w:r w:rsidR="00B51A02" w:rsidRPr="00933303">
              <w:t xml:space="preserve">Matched funding ‘challenge grants’ have been instrumental to the growth of community foundations globally and in Australia. Challenge grants incentivise community foundations to match the grant from community giving and galvanise the community and its leadership to drive community-led change. They </w:t>
            </w:r>
            <w:r w:rsidR="00242732" w:rsidRPr="00933303">
              <w:t xml:space="preserve">help </w:t>
            </w:r>
            <w:r w:rsidR="00D927FB" w:rsidRPr="00933303">
              <w:t xml:space="preserve">foundations </w:t>
            </w:r>
            <w:r w:rsidR="00242732" w:rsidRPr="00933303">
              <w:t>to</w:t>
            </w:r>
            <w:r w:rsidR="00B51A02" w:rsidRPr="00933303">
              <w:t xml:space="preserve"> rapidly build sustainable assets, establish committed donor bases, build fundraising capability, and set </w:t>
            </w:r>
            <w:r w:rsidR="004B04DB" w:rsidRPr="00933303">
              <w:t xml:space="preserve">the </w:t>
            </w:r>
            <w:r w:rsidR="00B51A02" w:rsidRPr="00933303">
              <w:t xml:space="preserve">foundations </w:t>
            </w:r>
            <w:r w:rsidR="004B04DB" w:rsidRPr="00933303">
              <w:t>for</w:t>
            </w:r>
            <w:r w:rsidR="00B51A02" w:rsidRPr="00933303">
              <w:t xml:space="preserve"> long term sustainability and impact.</w:t>
            </w:r>
            <w:r w:rsidR="004E448C" w:rsidRPr="00933303">
              <w:t xml:space="preserve">  They could </w:t>
            </w:r>
            <w:proofErr w:type="gramStart"/>
            <w:r w:rsidR="004E448C" w:rsidRPr="00933303">
              <w:t>be located in</w:t>
            </w:r>
            <w:proofErr w:type="gramEnd"/>
            <w:r w:rsidR="004E448C" w:rsidRPr="00933303">
              <w:t xml:space="preserve"> places that complement the Government’s work to address place-based disadvantage.</w:t>
            </w:r>
          </w:p>
        </w:tc>
      </w:tr>
    </w:tbl>
    <w:p w14:paraId="67585DB4" w14:textId="312BCE33" w:rsidR="009C0344" w:rsidRPr="00933303" w:rsidRDefault="00AC0F50" w:rsidP="00AC0F50">
      <w:pPr>
        <w:pStyle w:val="Heading4"/>
        <w:spacing w:before="120"/>
        <w:rPr>
          <w:rFonts w:asciiTheme="minorHAnsi" w:hAnsiTheme="minorHAnsi"/>
        </w:rPr>
      </w:pPr>
      <w:r w:rsidRPr="00933303">
        <w:rPr>
          <w:rFonts w:asciiTheme="minorHAnsi" w:hAnsiTheme="minorHAnsi"/>
        </w:rPr>
        <w:t xml:space="preserve">The </w:t>
      </w:r>
      <w:r w:rsidR="006B4F99" w:rsidRPr="00933303">
        <w:rPr>
          <w:rFonts w:asciiTheme="minorHAnsi" w:hAnsiTheme="minorHAnsi"/>
        </w:rPr>
        <w:t>Case for Reform</w:t>
      </w:r>
    </w:p>
    <w:p w14:paraId="440FC2E5" w14:textId="77777777" w:rsidR="009C0344" w:rsidRPr="00933303" w:rsidRDefault="009C0344" w:rsidP="0093465B">
      <w:pPr>
        <w:numPr>
          <w:ilvl w:val="0"/>
          <w:numId w:val="18"/>
        </w:numPr>
        <w:spacing w:before="120" w:after="60"/>
        <w:rPr>
          <w:rFonts w:eastAsia="MS ??"/>
          <w:b/>
        </w:rPr>
      </w:pPr>
      <w:r w:rsidRPr="00933303">
        <w:rPr>
          <w:rFonts w:eastAsia="MS ??"/>
          <w:b/>
        </w:rPr>
        <w:t>Community Foundations allow local people to donate to a permanent endowment – and lead and participate in activities - focused on improving the lives of people in their region.</w:t>
      </w:r>
    </w:p>
    <w:p w14:paraId="2BB49260" w14:textId="77777777" w:rsidR="009C0344" w:rsidRPr="00933303" w:rsidRDefault="009C0344" w:rsidP="00603E84">
      <w:pPr>
        <w:pStyle w:val="ListParagraph"/>
        <w:numPr>
          <w:ilvl w:val="0"/>
          <w:numId w:val="43"/>
        </w:numPr>
        <w:spacing w:before="60" w:after="60"/>
        <w:rPr>
          <w:rFonts w:asciiTheme="minorHAnsi" w:hAnsiTheme="minorHAnsi"/>
          <w:sz w:val="20"/>
        </w:rPr>
      </w:pPr>
      <w:r w:rsidRPr="00933303">
        <w:rPr>
          <w:rFonts w:asciiTheme="minorHAnsi" w:hAnsiTheme="minorHAnsi"/>
          <w:sz w:val="20"/>
        </w:rPr>
        <w:t xml:space="preserve">Many Australians develop strong ties with their local community or region, understand what makes it tick, care about its people, and want to see it thrive.  </w:t>
      </w:r>
    </w:p>
    <w:p w14:paraId="496035C8" w14:textId="77777777" w:rsidR="009C0344" w:rsidRPr="00933303" w:rsidRDefault="009C0344" w:rsidP="00603E84">
      <w:pPr>
        <w:pStyle w:val="ListParagraph"/>
        <w:numPr>
          <w:ilvl w:val="0"/>
          <w:numId w:val="43"/>
        </w:numPr>
        <w:spacing w:before="60" w:after="60"/>
        <w:rPr>
          <w:rFonts w:asciiTheme="minorHAnsi" w:hAnsiTheme="minorHAnsi"/>
          <w:sz w:val="20"/>
        </w:rPr>
      </w:pPr>
      <w:r w:rsidRPr="00933303">
        <w:rPr>
          <w:rFonts w:asciiTheme="minorHAnsi" w:hAnsiTheme="minorHAnsi"/>
          <w:sz w:val="20"/>
        </w:rPr>
        <w:t>Community Foundations are a great way for people from all walks of life to get involved in donating, volunteering, and participating in projects to help their region thrive.  They galvanise the community to drive place-based change in a myriad of ways.</w:t>
      </w:r>
    </w:p>
    <w:p w14:paraId="0AFC0962" w14:textId="77777777" w:rsidR="009C0344" w:rsidRPr="00933303" w:rsidRDefault="009C0344" w:rsidP="0093465B">
      <w:pPr>
        <w:numPr>
          <w:ilvl w:val="3"/>
          <w:numId w:val="29"/>
        </w:numPr>
        <w:spacing w:before="60" w:after="60"/>
        <w:ind w:left="709"/>
        <w:rPr>
          <w:rFonts w:eastAsia="MS ??"/>
        </w:rPr>
      </w:pPr>
      <w:r w:rsidRPr="00933303">
        <w:rPr>
          <w:rFonts w:eastAsia="MS ??"/>
        </w:rPr>
        <w:t xml:space="preserve">Local people establish, </w:t>
      </w:r>
      <w:proofErr w:type="gramStart"/>
      <w:r w:rsidRPr="00933303">
        <w:rPr>
          <w:rFonts w:eastAsia="MS ??"/>
        </w:rPr>
        <w:t>manage</w:t>
      </w:r>
      <w:proofErr w:type="gramEnd"/>
      <w:r w:rsidRPr="00933303">
        <w:rPr>
          <w:rFonts w:eastAsia="MS ??"/>
        </w:rPr>
        <w:t xml:space="preserve"> and govern the CFs to meet local needs.</w:t>
      </w:r>
    </w:p>
    <w:p w14:paraId="0200B246" w14:textId="77777777" w:rsidR="009C0344" w:rsidRPr="00933303" w:rsidRDefault="009C0344" w:rsidP="0093465B">
      <w:pPr>
        <w:numPr>
          <w:ilvl w:val="3"/>
          <w:numId w:val="29"/>
        </w:numPr>
        <w:spacing w:before="60" w:after="60"/>
        <w:ind w:left="709"/>
        <w:rPr>
          <w:rFonts w:eastAsia="MS ??"/>
        </w:rPr>
      </w:pPr>
      <w:r w:rsidRPr="00933303">
        <w:rPr>
          <w:rFonts w:eastAsia="MS ??"/>
        </w:rPr>
        <w:t>They identify local challenges and engage the community in finding solutions.</w:t>
      </w:r>
    </w:p>
    <w:p w14:paraId="6FC3C759" w14:textId="77777777" w:rsidR="009C0344" w:rsidRPr="00933303" w:rsidRDefault="009C0344" w:rsidP="0093465B">
      <w:pPr>
        <w:numPr>
          <w:ilvl w:val="3"/>
          <w:numId w:val="29"/>
        </w:numPr>
        <w:spacing w:before="60" w:after="60"/>
        <w:ind w:left="709"/>
        <w:rPr>
          <w:rFonts w:eastAsia="MS ??"/>
        </w:rPr>
      </w:pPr>
      <w:r w:rsidRPr="00933303">
        <w:rPr>
          <w:rFonts w:eastAsia="MS ??"/>
        </w:rPr>
        <w:t>They raise and attract funds from many donors with diverse interests.</w:t>
      </w:r>
    </w:p>
    <w:p w14:paraId="44C389B6" w14:textId="4AF622B4" w:rsidR="009C0344" w:rsidRPr="00933303" w:rsidRDefault="009C0344" w:rsidP="0093465B">
      <w:pPr>
        <w:numPr>
          <w:ilvl w:val="3"/>
          <w:numId w:val="29"/>
        </w:numPr>
        <w:spacing w:before="60" w:after="60"/>
        <w:ind w:left="709"/>
        <w:rPr>
          <w:rFonts w:eastAsia="MS ??"/>
        </w:rPr>
      </w:pPr>
      <w:r w:rsidRPr="00933303">
        <w:rPr>
          <w:rFonts w:eastAsia="MS ??"/>
        </w:rPr>
        <w:t>They provide grants to community-based organisations to do critical work</w:t>
      </w:r>
      <w:r w:rsidR="00AB6B5C" w:rsidRPr="00933303">
        <w:rPr>
          <w:rFonts w:eastAsia="MS ??"/>
        </w:rPr>
        <w:t>.</w:t>
      </w:r>
    </w:p>
    <w:p w14:paraId="1C86D693" w14:textId="77777777" w:rsidR="009C0344" w:rsidRPr="00933303" w:rsidRDefault="009C0344" w:rsidP="0093465B">
      <w:pPr>
        <w:numPr>
          <w:ilvl w:val="3"/>
          <w:numId w:val="29"/>
        </w:numPr>
        <w:spacing w:before="60" w:after="60"/>
        <w:ind w:left="709"/>
        <w:rPr>
          <w:rFonts w:eastAsia="MS ??"/>
        </w:rPr>
      </w:pPr>
      <w:r w:rsidRPr="00933303">
        <w:rPr>
          <w:rFonts w:eastAsia="MS ??"/>
        </w:rPr>
        <w:t>They harness untapped local capacity and leadership by giving local people voice and agency in decisions that matter to them.</w:t>
      </w:r>
    </w:p>
    <w:p w14:paraId="7BE27581" w14:textId="77777777" w:rsidR="009C0344" w:rsidRPr="00933303" w:rsidRDefault="009C0344" w:rsidP="0093465B">
      <w:pPr>
        <w:numPr>
          <w:ilvl w:val="3"/>
          <w:numId w:val="29"/>
        </w:numPr>
        <w:spacing w:before="60" w:after="60"/>
        <w:ind w:left="709"/>
        <w:rPr>
          <w:rFonts w:eastAsia="MS ??"/>
        </w:rPr>
      </w:pPr>
      <w:r w:rsidRPr="00933303">
        <w:rPr>
          <w:rFonts w:eastAsia="MS ??"/>
        </w:rPr>
        <w:lastRenderedPageBreak/>
        <w:t xml:space="preserve">They create a virtuous cycle, with local participation driving successful projects, showing what can be achieved.  This builds social capital and confidence, galvanizing communities to continue positive place-based change. </w:t>
      </w:r>
    </w:p>
    <w:p w14:paraId="39C2C73B" w14:textId="1D9F5A92" w:rsidR="009C0344" w:rsidRPr="00933303" w:rsidRDefault="009C0344" w:rsidP="00603E84">
      <w:pPr>
        <w:pStyle w:val="ListParagraph"/>
        <w:numPr>
          <w:ilvl w:val="0"/>
          <w:numId w:val="44"/>
        </w:numPr>
        <w:spacing w:before="120" w:after="60"/>
        <w:rPr>
          <w:rFonts w:asciiTheme="minorHAnsi" w:hAnsiTheme="minorHAnsi"/>
          <w:b/>
          <w:sz w:val="20"/>
        </w:rPr>
      </w:pPr>
      <w:r w:rsidRPr="00933303">
        <w:rPr>
          <w:rFonts w:asciiTheme="minorHAnsi" w:hAnsiTheme="minorHAnsi"/>
          <w:b/>
          <w:sz w:val="20"/>
        </w:rPr>
        <w:t xml:space="preserve">Community Foundations deliver significant direct impact, and a more generous society, with more social capital, </w:t>
      </w:r>
      <w:proofErr w:type="gramStart"/>
      <w:r w:rsidRPr="00933303">
        <w:rPr>
          <w:rFonts w:asciiTheme="minorHAnsi" w:hAnsiTheme="minorHAnsi"/>
          <w:b/>
          <w:sz w:val="20"/>
        </w:rPr>
        <w:t>trust</w:t>
      </w:r>
      <w:proofErr w:type="gramEnd"/>
      <w:r w:rsidRPr="00933303">
        <w:rPr>
          <w:rFonts w:asciiTheme="minorHAnsi" w:hAnsiTheme="minorHAnsi"/>
          <w:b/>
          <w:sz w:val="20"/>
        </w:rPr>
        <w:t xml:space="preserve"> and participation in local communities.</w:t>
      </w:r>
    </w:p>
    <w:p w14:paraId="0061F589" w14:textId="77777777" w:rsidR="009C0344" w:rsidRPr="00933303" w:rsidRDefault="009C0344" w:rsidP="00603E84">
      <w:pPr>
        <w:pStyle w:val="ListParagraph"/>
        <w:numPr>
          <w:ilvl w:val="0"/>
          <w:numId w:val="45"/>
        </w:numPr>
        <w:spacing w:before="60" w:after="60"/>
        <w:rPr>
          <w:rFonts w:asciiTheme="minorHAnsi" w:hAnsiTheme="minorHAnsi"/>
          <w:sz w:val="20"/>
        </w:rPr>
      </w:pPr>
      <w:r w:rsidRPr="00933303">
        <w:rPr>
          <w:rFonts w:asciiTheme="minorHAnsi" w:hAnsiTheme="minorHAnsi"/>
          <w:sz w:val="20"/>
        </w:rPr>
        <w:t xml:space="preserve">Community Foundations are run by people with detailed knowledge of their local community, so they are well placed to know where to invest – and how to galvanise local leadership – to drive maximum impact. </w:t>
      </w:r>
    </w:p>
    <w:p w14:paraId="491526BE" w14:textId="77777777" w:rsidR="009C0344" w:rsidRPr="00933303" w:rsidRDefault="009C0344" w:rsidP="00603E84">
      <w:pPr>
        <w:pStyle w:val="ListParagraph"/>
        <w:numPr>
          <w:ilvl w:val="0"/>
          <w:numId w:val="45"/>
        </w:numPr>
        <w:spacing w:before="60" w:after="60"/>
        <w:rPr>
          <w:rFonts w:asciiTheme="minorHAnsi" w:hAnsiTheme="minorHAnsi"/>
          <w:sz w:val="20"/>
        </w:rPr>
      </w:pPr>
      <w:r w:rsidRPr="00933303">
        <w:rPr>
          <w:rFonts w:asciiTheme="minorHAnsi" w:hAnsiTheme="minorHAnsi"/>
          <w:sz w:val="20"/>
        </w:rPr>
        <w:t>This work can help shift the culture in communities and across Australia, creating a more generous and giving community, with more social connection and social capital.</w:t>
      </w:r>
    </w:p>
    <w:p w14:paraId="5EAF03FB" w14:textId="3D3C7C88" w:rsidR="009C0344" w:rsidRPr="00933303" w:rsidRDefault="000C1732" w:rsidP="00603E84">
      <w:pPr>
        <w:pStyle w:val="ListParagraph"/>
        <w:numPr>
          <w:ilvl w:val="0"/>
          <w:numId w:val="44"/>
        </w:numPr>
        <w:spacing w:before="120" w:after="60"/>
        <w:rPr>
          <w:rFonts w:asciiTheme="minorHAnsi" w:hAnsiTheme="minorHAnsi"/>
          <w:b/>
          <w:sz w:val="20"/>
        </w:rPr>
      </w:pPr>
      <w:r w:rsidRPr="00933303">
        <w:rPr>
          <w:rFonts w:asciiTheme="minorHAnsi" w:hAnsiTheme="minorHAnsi"/>
          <w:b/>
          <w:sz w:val="20"/>
        </w:rPr>
        <w:t>E</w:t>
      </w:r>
      <w:r w:rsidR="009C0344" w:rsidRPr="00933303">
        <w:rPr>
          <w:rFonts w:asciiTheme="minorHAnsi" w:hAnsiTheme="minorHAnsi"/>
          <w:b/>
          <w:sz w:val="20"/>
        </w:rPr>
        <w:t xml:space="preserve">merging from the pandemic and a series of natural disasters, Australians are </w:t>
      </w:r>
      <w:r w:rsidR="00303ABF" w:rsidRPr="00933303">
        <w:rPr>
          <w:rFonts w:asciiTheme="minorHAnsi" w:hAnsiTheme="minorHAnsi"/>
          <w:b/>
          <w:sz w:val="20"/>
        </w:rPr>
        <w:t xml:space="preserve">living and working more locally and </w:t>
      </w:r>
      <w:r w:rsidR="009C0344" w:rsidRPr="00933303">
        <w:rPr>
          <w:rFonts w:asciiTheme="minorHAnsi" w:hAnsiTheme="minorHAnsi"/>
          <w:b/>
          <w:sz w:val="20"/>
        </w:rPr>
        <w:t xml:space="preserve">increasingly keen to engage to strengthen local communities.  </w:t>
      </w:r>
    </w:p>
    <w:p w14:paraId="7B389ECE" w14:textId="7758469D" w:rsidR="009C0344" w:rsidRPr="00933303" w:rsidRDefault="009C0344" w:rsidP="00603E84">
      <w:pPr>
        <w:pStyle w:val="ListParagraph"/>
        <w:keepNext/>
        <w:numPr>
          <w:ilvl w:val="0"/>
          <w:numId w:val="46"/>
        </w:numPr>
        <w:spacing w:before="60" w:after="60"/>
        <w:rPr>
          <w:rFonts w:asciiTheme="minorHAnsi" w:hAnsiTheme="minorHAnsi"/>
          <w:sz w:val="20"/>
        </w:rPr>
      </w:pPr>
      <w:r w:rsidRPr="00933303">
        <w:rPr>
          <w:rFonts w:asciiTheme="minorHAnsi" w:hAnsiTheme="minorHAnsi"/>
          <w:sz w:val="20"/>
        </w:rPr>
        <w:t xml:space="preserve">Polling and focus groups commissioned by PA and undertaken by Redbridge </w:t>
      </w:r>
      <w:r w:rsidR="00C009B0" w:rsidRPr="00933303">
        <w:rPr>
          <w:rFonts w:asciiTheme="minorHAnsi" w:hAnsiTheme="minorHAnsi"/>
          <w:sz w:val="20"/>
        </w:rPr>
        <w:t xml:space="preserve">found </w:t>
      </w:r>
      <w:r w:rsidR="00D151CB" w:rsidRPr="00933303">
        <w:rPr>
          <w:rFonts w:asciiTheme="minorHAnsi" w:hAnsiTheme="minorHAnsi"/>
          <w:sz w:val="20"/>
        </w:rPr>
        <w:t>61 per cent of Australians agree they’d like the opportunity to donate or get involved with a local Community foundation, while 9 per cent disagree.</w:t>
      </w:r>
    </w:p>
    <w:p w14:paraId="4BD2C75C" w14:textId="1DB92FFA" w:rsidR="00FB28F2" w:rsidRPr="00933303" w:rsidRDefault="00FB28F2" w:rsidP="00603E84">
      <w:pPr>
        <w:pStyle w:val="ListParagraph"/>
        <w:keepNext/>
        <w:numPr>
          <w:ilvl w:val="0"/>
          <w:numId w:val="44"/>
        </w:numPr>
        <w:spacing w:before="60" w:after="60"/>
        <w:rPr>
          <w:rFonts w:asciiTheme="minorHAnsi" w:hAnsiTheme="minorHAnsi"/>
          <w:b/>
          <w:bCs/>
          <w:sz w:val="20"/>
        </w:rPr>
      </w:pPr>
      <w:r w:rsidRPr="00933303">
        <w:rPr>
          <w:rFonts w:asciiTheme="minorHAnsi" w:hAnsiTheme="minorHAnsi"/>
          <w:b/>
          <w:bCs/>
          <w:sz w:val="20"/>
        </w:rPr>
        <w:t>Ensuring almost all Australians can participate in a local Community Foundation is a great way to grow giving and volunteering.</w:t>
      </w:r>
    </w:p>
    <w:p w14:paraId="797E1612" w14:textId="064D4F3F" w:rsidR="00372F24" w:rsidRPr="00933303" w:rsidRDefault="002D4D32" w:rsidP="00603E84">
      <w:pPr>
        <w:pStyle w:val="ListParagraph"/>
        <w:numPr>
          <w:ilvl w:val="0"/>
          <w:numId w:val="46"/>
        </w:numPr>
        <w:spacing w:before="60" w:after="60"/>
        <w:rPr>
          <w:rFonts w:asciiTheme="minorHAnsi" w:eastAsia="Calibri" w:hAnsiTheme="minorHAnsi"/>
          <w:b/>
          <w:bCs/>
          <w:sz w:val="20"/>
        </w:rPr>
      </w:pPr>
      <w:r w:rsidRPr="00933303">
        <w:rPr>
          <w:rFonts w:asciiTheme="minorHAnsi" w:eastAsia="Calibri" w:hAnsiTheme="minorHAnsi"/>
          <w:sz w:val="20"/>
        </w:rPr>
        <w:t xml:space="preserve">Even with limited national coverage, </w:t>
      </w:r>
      <w:r w:rsidR="00372F24" w:rsidRPr="00933303">
        <w:rPr>
          <w:rFonts w:asciiTheme="minorHAnsi" w:eastAsia="Calibri" w:hAnsiTheme="minorHAnsi"/>
          <w:sz w:val="20"/>
        </w:rPr>
        <w:t xml:space="preserve">Australians are increasing giving to community foundations at a greater rate than Australians overall tax-deductible giving (growing at an average of 14% vs 8.4% respectively, from 2016 to 2021). They are attractive to donors as they are trusted, community-governed institutions, </w:t>
      </w:r>
      <w:r w:rsidRPr="00933303">
        <w:rPr>
          <w:rFonts w:asciiTheme="minorHAnsi" w:eastAsia="Calibri" w:hAnsiTheme="minorHAnsi"/>
          <w:sz w:val="20"/>
        </w:rPr>
        <w:t>delivering cost-effective impact.</w:t>
      </w:r>
    </w:p>
    <w:p w14:paraId="66DE32D8" w14:textId="608B89A2" w:rsidR="00372F24" w:rsidRPr="00933303" w:rsidRDefault="006E359B" w:rsidP="00603E84">
      <w:pPr>
        <w:pStyle w:val="ListParagraph"/>
        <w:numPr>
          <w:ilvl w:val="0"/>
          <w:numId w:val="46"/>
        </w:numPr>
        <w:spacing w:before="60" w:after="60"/>
        <w:rPr>
          <w:rFonts w:asciiTheme="minorHAnsi" w:eastAsia="Calibri" w:hAnsiTheme="minorHAnsi"/>
          <w:b/>
          <w:bCs/>
          <w:sz w:val="20"/>
        </w:rPr>
      </w:pPr>
      <w:r w:rsidRPr="00933303">
        <w:rPr>
          <w:rFonts w:asciiTheme="minorHAnsi" w:eastAsia="Calibri" w:hAnsiTheme="minorHAnsi"/>
          <w:sz w:val="20"/>
        </w:rPr>
        <w:t xml:space="preserve">Community foundations are well placed to capture a share of Australia’s </w:t>
      </w:r>
      <w:r w:rsidR="00372F24" w:rsidRPr="00933303">
        <w:rPr>
          <w:rFonts w:asciiTheme="minorHAnsi" w:eastAsia="Calibri" w:hAnsiTheme="minorHAnsi"/>
          <w:sz w:val="20"/>
        </w:rPr>
        <w:t xml:space="preserve">unprecedented intergenerational wealth transfer. $2.6 trillion of wealth will transfer from 2021 to 2040, a third of which will be outside our cities. </w:t>
      </w:r>
    </w:p>
    <w:p w14:paraId="4C022045" w14:textId="5235648F" w:rsidR="00A161E2" w:rsidRPr="00933303" w:rsidRDefault="008B5756" w:rsidP="00603E84">
      <w:pPr>
        <w:pStyle w:val="ListParagraph"/>
        <w:numPr>
          <w:ilvl w:val="0"/>
          <w:numId w:val="44"/>
        </w:numPr>
        <w:spacing w:before="60" w:after="60"/>
        <w:rPr>
          <w:rFonts w:asciiTheme="minorHAnsi" w:eastAsia="Calibri" w:hAnsiTheme="minorHAnsi"/>
          <w:b/>
          <w:bCs/>
          <w:sz w:val="20"/>
        </w:rPr>
      </w:pPr>
      <w:r w:rsidRPr="00933303">
        <w:rPr>
          <w:rFonts w:asciiTheme="minorHAnsi" w:eastAsia="Calibri" w:hAnsiTheme="minorHAnsi"/>
          <w:b/>
          <w:bCs/>
          <w:sz w:val="20"/>
        </w:rPr>
        <w:t>A national network of Community Foundations can support the Federal Government’s</w:t>
      </w:r>
      <w:r w:rsidR="00EF6C7C" w:rsidRPr="00933303">
        <w:rPr>
          <w:rFonts w:asciiTheme="minorHAnsi" w:eastAsia="Calibri" w:hAnsiTheme="minorHAnsi"/>
          <w:b/>
          <w:bCs/>
          <w:sz w:val="20"/>
        </w:rPr>
        <w:t xml:space="preserve"> work to address </w:t>
      </w:r>
      <w:r w:rsidRPr="00933303">
        <w:rPr>
          <w:rFonts w:asciiTheme="minorHAnsi" w:eastAsia="Calibri" w:hAnsiTheme="minorHAnsi"/>
          <w:b/>
          <w:bCs/>
          <w:sz w:val="20"/>
        </w:rPr>
        <w:t xml:space="preserve">place-based </w:t>
      </w:r>
      <w:proofErr w:type="gramStart"/>
      <w:r w:rsidRPr="00933303">
        <w:rPr>
          <w:rFonts w:asciiTheme="minorHAnsi" w:eastAsia="Calibri" w:hAnsiTheme="minorHAnsi"/>
          <w:b/>
          <w:bCs/>
          <w:sz w:val="20"/>
        </w:rPr>
        <w:t>disadvantage</w:t>
      </w:r>
      <w:proofErr w:type="gramEnd"/>
    </w:p>
    <w:p w14:paraId="63A01732" w14:textId="67DD5C20" w:rsidR="006A7860" w:rsidRPr="00933303" w:rsidRDefault="00372F24" w:rsidP="00603E84">
      <w:pPr>
        <w:pStyle w:val="ListParagraph"/>
        <w:numPr>
          <w:ilvl w:val="0"/>
          <w:numId w:val="46"/>
        </w:numPr>
        <w:spacing w:before="60" w:after="60"/>
        <w:rPr>
          <w:rFonts w:asciiTheme="minorHAnsi" w:eastAsia="Calibri" w:hAnsiTheme="minorHAnsi"/>
          <w:sz w:val="20"/>
        </w:rPr>
      </w:pPr>
      <w:r w:rsidRPr="00933303">
        <w:rPr>
          <w:rFonts w:asciiTheme="minorHAnsi" w:eastAsia="Calibri" w:hAnsiTheme="minorHAnsi"/>
          <w:sz w:val="20"/>
        </w:rPr>
        <w:t xml:space="preserve">The Federal Government </w:t>
      </w:r>
      <w:r w:rsidR="002D244A">
        <w:rPr>
          <w:rFonts w:asciiTheme="minorHAnsi" w:eastAsia="Calibri" w:hAnsiTheme="minorHAnsi"/>
          <w:sz w:val="20"/>
        </w:rPr>
        <w:t xml:space="preserve">is </w:t>
      </w:r>
      <w:r w:rsidRPr="00933303">
        <w:rPr>
          <w:rFonts w:asciiTheme="minorHAnsi" w:eastAsia="Calibri" w:hAnsiTheme="minorHAnsi"/>
          <w:sz w:val="20"/>
        </w:rPr>
        <w:t xml:space="preserve">showing an increased interest in place-based initiatives to address complex social challenges, including entrenched </w:t>
      </w:r>
      <w:proofErr w:type="gramStart"/>
      <w:r w:rsidRPr="00933303">
        <w:rPr>
          <w:rFonts w:asciiTheme="minorHAnsi" w:eastAsia="Calibri" w:hAnsiTheme="minorHAnsi"/>
          <w:sz w:val="20"/>
        </w:rPr>
        <w:t>disadvantage</w:t>
      </w:r>
      <w:proofErr w:type="gramEnd"/>
      <w:r w:rsidRPr="00933303">
        <w:rPr>
          <w:rFonts w:asciiTheme="minorHAnsi" w:eastAsia="Calibri" w:hAnsiTheme="minorHAnsi"/>
          <w:sz w:val="20"/>
        </w:rPr>
        <w:t xml:space="preserve">. There are at least six Commonwealth place-based initiatives operating in over 130 locations.  The Federal Government announced a suite of additional initiatives in the recent budget, including development of a whole-of-government Framework to Address Community Disadvantage, and more funding for the Stronger Places, Stronger People program that addresses place-based disadvantage in communities such as Logan and Burnie.  </w:t>
      </w:r>
    </w:p>
    <w:p w14:paraId="7F80E921" w14:textId="77777777" w:rsidR="006A7860" w:rsidRPr="00933303" w:rsidRDefault="006A7860" w:rsidP="00AD3DEB">
      <w:pPr>
        <w:keepLines/>
        <w:pBdr>
          <w:top w:val="single" w:sz="4" w:space="10" w:color="F5F9FD" w:themeColor="background2"/>
          <w:left w:val="single" w:sz="4" w:space="10" w:color="F5F9FD" w:themeColor="background2"/>
          <w:bottom w:val="single" w:sz="4" w:space="10" w:color="F5F9FD" w:themeColor="background2"/>
          <w:right w:val="single" w:sz="4" w:space="10" w:color="F5F9FD" w:themeColor="background2"/>
        </w:pBdr>
        <w:shd w:val="clear" w:color="auto" w:fill="F5F9FD" w:themeFill="background2"/>
        <w:ind w:right="227"/>
        <w:rPr>
          <w:rFonts w:eastAsia="Arial"/>
          <w:iCs/>
        </w:rPr>
      </w:pPr>
      <w:bookmarkStart w:id="15" w:name="_Toc126341213"/>
      <w:r w:rsidRPr="00933303">
        <w:rPr>
          <w:rFonts w:eastAsia="Arial"/>
          <w:iCs/>
        </w:rPr>
        <w:t xml:space="preserve">‘I know from my own community in Logan, south of Brisbane, how unjust it is that people who live on the outskirts of capital cities and in some regional areas experience much more inequality than other citizens. But this injustice presents an opportunity: to focus our attention on place-based initiatives where communities have the genuine input, local leadership, </w:t>
      </w:r>
      <w:proofErr w:type="gramStart"/>
      <w:r w:rsidRPr="00933303">
        <w:rPr>
          <w:rFonts w:eastAsia="Arial"/>
          <w:iCs/>
        </w:rPr>
        <w:t>resources</w:t>
      </w:r>
      <w:proofErr w:type="gramEnd"/>
      <w:r w:rsidRPr="00933303">
        <w:rPr>
          <w:rFonts w:eastAsia="Arial"/>
          <w:iCs/>
        </w:rPr>
        <w:t xml:space="preserve"> and authority to define a new and better future especially for kids.’</w:t>
      </w:r>
      <w:bookmarkEnd w:id="15"/>
    </w:p>
    <w:p w14:paraId="0BA19629" w14:textId="1BD2BEA0" w:rsidR="006A7860" w:rsidRPr="00933303" w:rsidRDefault="006A7860" w:rsidP="00A5628E">
      <w:pPr>
        <w:keepLines/>
        <w:pBdr>
          <w:top w:val="single" w:sz="4" w:space="10" w:color="F5F9FD" w:themeColor="background2"/>
          <w:left w:val="single" w:sz="4" w:space="10" w:color="F5F9FD" w:themeColor="background2"/>
          <w:bottom w:val="single" w:sz="4" w:space="10" w:color="F5F9FD" w:themeColor="background2"/>
          <w:right w:val="single" w:sz="4" w:space="10" w:color="F5F9FD" w:themeColor="background2"/>
        </w:pBdr>
        <w:shd w:val="clear" w:color="auto" w:fill="F5F9FD" w:themeFill="background2"/>
        <w:ind w:right="227"/>
        <w:rPr>
          <w:rFonts w:eastAsia="Arial"/>
          <w:i/>
        </w:rPr>
      </w:pPr>
      <w:bookmarkStart w:id="16" w:name="_Toc126341215"/>
      <w:r w:rsidRPr="00933303">
        <w:rPr>
          <w:rFonts w:eastAsia="Arial"/>
          <w:i/>
        </w:rPr>
        <w:t>— Treasurer Jim Chalmers, ‘Capitalism after the crises’,</w:t>
      </w:r>
      <w:bookmarkEnd w:id="16"/>
      <w:r w:rsidRPr="00933303">
        <w:rPr>
          <w:rFonts w:eastAsia="Arial"/>
          <w:i/>
        </w:rPr>
        <w:t xml:space="preserve"> </w:t>
      </w:r>
      <w:bookmarkStart w:id="17" w:name="_Toc126341216"/>
      <w:r w:rsidRPr="00933303">
        <w:rPr>
          <w:rFonts w:eastAsia="Arial"/>
          <w:i/>
        </w:rPr>
        <w:t>The Monthly, February 2023.</w:t>
      </w:r>
      <w:bookmarkEnd w:id="17"/>
    </w:p>
    <w:p w14:paraId="5368267E" w14:textId="5B6C4501" w:rsidR="00372F24" w:rsidRPr="00933303" w:rsidRDefault="00372F24" w:rsidP="00603E84">
      <w:pPr>
        <w:pStyle w:val="ListParagraph"/>
        <w:numPr>
          <w:ilvl w:val="0"/>
          <w:numId w:val="46"/>
        </w:numPr>
        <w:spacing w:before="60" w:after="60"/>
        <w:rPr>
          <w:rFonts w:asciiTheme="minorHAnsi" w:eastAsia="Calibri" w:hAnsiTheme="minorHAnsi"/>
          <w:sz w:val="20"/>
        </w:rPr>
      </w:pPr>
      <w:r w:rsidRPr="00933303">
        <w:rPr>
          <w:rFonts w:asciiTheme="minorHAnsi" w:eastAsia="Calibri" w:hAnsiTheme="minorHAnsi"/>
          <w:sz w:val="20"/>
        </w:rPr>
        <w:t>Establishing Community Foundations in areas of high need can amplify what government can achieve alone, build community buy-</w:t>
      </w:r>
      <w:proofErr w:type="gramStart"/>
      <w:r w:rsidRPr="00933303">
        <w:rPr>
          <w:rFonts w:asciiTheme="minorHAnsi" w:eastAsia="Calibri" w:hAnsiTheme="minorHAnsi"/>
          <w:sz w:val="20"/>
        </w:rPr>
        <w:t>in</w:t>
      </w:r>
      <w:proofErr w:type="gramEnd"/>
      <w:r w:rsidRPr="00933303">
        <w:rPr>
          <w:rFonts w:asciiTheme="minorHAnsi" w:eastAsia="Calibri" w:hAnsiTheme="minorHAnsi"/>
          <w:sz w:val="20"/>
        </w:rPr>
        <w:t xml:space="preserve"> and expand opportunity to more Australians in low-income communities.  In the longer term, as the network approaches full national coverage, government will have the capacity to collaborate with a powerful network of Community Foundations to </w:t>
      </w:r>
      <w:r w:rsidRPr="00933303">
        <w:rPr>
          <w:rFonts w:asciiTheme="minorHAnsi" w:eastAsia="Calibri" w:hAnsiTheme="minorHAnsi"/>
          <w:bCs/>
          <w:sz w:val="20"/>
        </w:rPr>
        <w:t>strengthen local communities in a whole suite of policy areas, as has become routine practice in nations such as Canada.</w:t>
      </w:r>
    </w:p>
    <w:p w14:paraId="463130E2" w14:textId="70C07515" w:rsidR="009C0344" w:rsidRPr="00933303" w:rsidRDefault="009C0344" w:rsidP="009C0344">
      <w:pPr>
        <w:spacing w:before="60" w:after="60"/>
        <w:ind w:left="680"/>
        <w:rPr>
          <w:rFonts w:eastAsia="Calibri"/>
        </w:rPr>
      </w:pPr>
    </w:p>
    <w:p w14:paraId="04C0B37A" w14:textId="77777777" w:rsidR="005D674A" w:rsidRPr="00933303" w:rsidRDefault="005D674A">
      <w:pPr>
        <w:rPr>
          <w:rFonts w:eastAsiaTheme="majorEastAsia" w:cstheme="majorBidi"/>
          <w:b/>
          <w:bCs/>
          <w:color w:val="3D7EDB" w:themeColor="accent1"/>
        </w:rPr>
      </w:pPr>
      <w:r w:rsidRPr="00933303">
        <w:br w:type="page"/>
      </w:r>
    </w:p>
    <w:p w14:paraId="203D410E" w14:textId="3A064F2E" w:rsidR="00FF7D6B" w:rsidRPr="00933303" w:rsidRDefault="00C41EB6" w:rsidP="0093465B">
      <w:pPr>
        <w:pStyle w:val="Heading2NoNumbering"/>
        <w:numPr>
          <w:ilvl w:val="0"/>
          <w:numId w:val="26"/>
        </w:numPr>
        <w:rPr>
          <w:rFonts w:asciiTheme="minorHAnsi" w:hAnsiTheme="minorHAnsi"/>
        </w:rPr>
      </w:pPr>
      <w:bookmarkStart w:id="18" w:name="_Toc153841133"/>
      <w:r w:rsidRPr="00933303">
        <w:rPr>
          <w:rFonts w:asciiTheme="minorHAnsi" w:hAnsiTheme="minorHAnsi"/>
        </w:rPr>
        <w:lastRenderedPageBreak/>
        <w:t>A stronger</w:t>
      </w:r>
      <w:r w:rsidR="00300ADD" w:rsidRPr="00933303">
        <w:rPr>
          <w:rFonts w:asciiTheme="minorHAnsi" w:hAnsiTheme="minorHAnsi"/>
        </w:rPr>
        <w:t xml:space="preserve"> charity </w:t>
      </w:r>
      <w:proofErr w:type="gramStart"/>
      <w:r w:rsidR="00300ADD" w:rsidRPr="00933303">
        <w:rPr>
          <w:rFonts w:asciiTheme="minorHAnsi" w:hAnsiTheme="minorHAnsi"/>
        </w:rPr>
        <w:t>sector</w:t>
      </w:r>
      <w:bookmarkEnd w:id="18"/>
      <w:proofErr w:type="gramEnd"/>
    </w:p>
    <w:p w14:paraId="2542C0E9" w14:textId="77777777" w:rsidR="00E916CF" w:rsidRPr="00933303" w:rsidRDefault="00E916CF" w:rsidP="00D20877">
      <w:pPr>
        <w:pStyle w:val="Heading4"/>
        <w:shd w:val="clear" w:color="auto" w:fill="E3F5FA" w:themeFill="accent2" w:themeFillTint="33"/>
        <w:rPr>
          <w:rFonts w:asciiTheme="minorHAnsi" w:hAnsiTheme="minorHAnsi"/>
          <w:sz w:val="20"/>
        </w:rPr>
      </w:pPr>
      <w:r w:rsidRPr="00933303">
        <w:rPr>
          <w:rFonts w:asciiTheme="minorHAnsi" w:eastAsia="MS ??" w:hAnsiTheme="minorHAnsi"/>
          <w:sz w:val="20"/>
        </w:rPr>
        <w:t>The Reform</w:t>
      </w:r>
    </w:p>
    <w:p w14:paraId="0CEF7461" w14:textId="60B5040F" w:rsidR="00E916CF" w:rsidRPr="00933303" w:rsidRDefault="00E916CF" w:rsidP="00D20877">
      <w:pPr>
        <w:pStyle w:val="ListNumber"/>
        <w:numPr>
          <w:ilvl w:val="0"/>
          <w:numId w:val="0"/>
        </w:numPr>
        <w:shd w:val="clear" w:color="auto" w:fill="E3F5FA" w:themeFill="accent2" w:themeFillTint="33"/>
      </w:pPr>
      <w:r w:rsidRPr="00933303">
        <w:t xml:space="preserve">The Federal Government </w:t>
      </w:r>
      <w:r w:rsidR="00E76C2E" w:rsidRPr="00933303">
        <w:t xml:space="preserve">implement a package of reforms </w:t>
      </w:r>
      <w:r w:rsidR="00897F3B" w:rsidRPr="00933303">
        <w:t xml:space="preserve">to strengthen the charity sector, </w:t>
      </w:r>
      <w:r w:rsidR="004B3B04" w:rsidRPr="00933303">
        <w:rPr>
          <w:b w:val="0"/>
          <w:bCs/>
        </w:rPr>
        <w:t xml:space="preserve">This agenda can be informed by previous reports such as the PC’s 2010 report, </w:t>
      </w:r>
      <w:r w:rsidR="004B3B04" w:rsidRPr="00933303">
        <w:rPr>
          <w:b w:val="0"/>
          <w:bCs/>
          <w:i/>
          <w:iCs/>
        </w:rPr>
        <w:t>Contribution of the Not-for-Profit Sector</w:t>
      </w:r>
      <w:r w:rsidR="004B3B04" w:rsidRPr="00933303">
        <w:rPr>
          <w:b w:val="0"/>
          <w:bCs/>
        </w:rPr>
        <w:t xml:space="preserve">, which outlined a powerful agenda for reform, much of which is yet to be implemented.  </w:t>
      </w:r>
    </w:p>
    <w:p w14:paraId="2D335989" w14:textId="28496DE3" w:rsidR="001D1BA5" w:rsidRPr="00933303" w:rsidRDefault="00F47436" w:rsidP="00D20877">
      <w:pPr>
        <w:shd w:val="clear" w:color="auto" w:fill="E3F5FA" w:themeFill="accent2" w:themeFillTint="33"/>
      </w:pPr>
      <w:r w:rsidRPr="00933303">
        <w:rPr>
          <w:b/>
          <w:bCs/>
        </w:rPr>
        <w:t>An Office of Not-For-Profit Reform</w:t>
      </w:r>
      <w:r w:rsidR="00A00BF7" w:rsidRPr="00933303">
        <w:rPr>
          <w:rFonts w:eastAsia="MS ??"/>
          <w:vertAlign w:val="superscript"/>
        </w:rPr>
        <w:footnoteReference w:id="10"/>
      </w:r>
      <w:r w:rsidRPr="00933303">
        <w:t xml:space="preserve"> </w:t>
      </w:r>
      <w:r w:rsidR="001D1BA5" w:rsidRPr="00933303">
        <w:t xml:space="preserve">could be established within a central agency such as Treasury to partner with the sector </w:t>
      </w:r>
      <w:r w:rsidR="00D56905" w:rsidRPr="00933303">
        <w:t>on reforms to strengthen charities across a sector, with a focus in two key areas:</w:t>
      </w:r>
    </w:p>
    <w:p w14:paraId="5A74B66F" w14:textId="1CDAC2BB" w:rsidR="00D56905" w:rsidRPr="00933303" w:rsidRDefault="00D0482C" w:rsidP="00603E84">
      <w:pPr>
        <w:pStyle w:val="ListNumber2"/>
        <w:numPr>
          <w:ilvl w:val="6"/>
          <w:numId w:val="46"/>
        </w:numPr>
        <w:shd w:val="clear" w:color="auto" w:fill="E3F5FA" w:themeFill="accent2" w:themeFillTint="33"/>
        <w:ind w:left="340"/>
        <w:rPr>
          <w:b/>
          <w:bCs/>
          <w:lang w:val="en-US"/>
        </w:rPr>
      </w:pPr>
      <w:r w:rsidRPr="00933303">
        <w:rPr>
          <w:b/>
          <w:bCs/>
        </w:rPr>
        <w:t>Building capabilities</w:t>
      </w:r>
      <w:r w:rsidRPr="00933303">
        <w:t>, including:</w:t>
      </w:r>
    </w:p>
    <w:p w14:paraId="44C5BA8B" w14:textId="0D4F6740" w:rsidR="004A3D52" w:rsidRPr="00933303" w:rsidRDefault="0072568D" w:rsidP="00603E84">
      <w:pPr>
        <w:pStyle w:val="ListParagraph"/>
        <w:numPr>
          <w:ilvl w:val="0"/>
          <w:numId w:val="48"/>
        </w:numPr>
        <w:shd w:val="clear" w:color="auto" w:fill="E3F5FA" w:themeFill="accent2" w:themeFillTint="33"/>
        <w:spacing w:after="120"/>
        <w:rPr>
          <w:rFonts w:asciiTheme="minorHAnsi" w:hAnsiTheme="minorHAnsi"/>
          <w:sz w:val="20"/>
        </w:rPr>
      </w:pPr>
      <w:r w:rsidRPr="00933303">
        <w:rPr>
          <w:rFonts w:asciiTheme="minorHAnsi" w:hAnsiTheme="minorHAnsi"/>
          <w:b/>
          <w:sz w:val="20"/>
        </w:rPr>
        <w:t>Leadership</w:t>
      </w:r>
      <w:r w:rsidR="004A3D52" w:rsidRPr="00933303">
        <w:rPr>
          <w:rFonts w:asciiTheme="minorHAnsi" w:hAnsiTheme="minorHAnsi"/>
          <w:b/>
          <w:sz w:val="20"/>
        </w:rPr>
        <w:t xml:space="preserve"> – </w:t>
      </w:r>
      <w:r w:rsidR="00EC43ED" w:rsidRPr="00933303">
        <w:rPr>
          <w:rFonts w:asciiTheme="minorHAnsi" w:hAnsiTheme="minorHAnsi"/>
          <w:bCs/>
          <w:sz w:val="20"/>
        </w:rPr>
        <w:t>Working with</w:t>
      </w:r>
      <w:r w:rsidR="00EC43ED" w:rsidRPr="00933303">
        <w:rPr>
          <w:rFonts w:asciiTheme="minorHAnsi" w:hAnsiTheme="minorHAnsi"/>
          <w:b/>
          <w:sz w:val="20"/>
        </w:rPr>
        <w:t xml:space="preserve"> </w:t>
      </w:r>
      <w:r w:rsidR="00EC43ED" w:rsidRPr="00933303">
        <w:rPr>
          <w:rFonts w:asciiTheme="minorHAnsi" w:hAnsiTheme="minorHAnsi"/>
          <w:sz w:val="20"/>
        </w:rPr>
        <w:t xml:space="preserve">institutions such as the Centre for Social Impact and ANZSOG </w:t>
      </w:r>
      <w:r w:rsidR="003935BF" w:rsidRPr="00933303">
        <w:rPr>
          <w:rFonts w:asciiTheme="minorHAnsi" w:hAnsiTheme="minorHAnsi"/>
          <w:sz w:val="20"/>
        </w:rPr>
        <w:t xml:space="preserve">to </w:t>
      </w:r>
      <w:proofErr w:type="gramStart"/>
      <w:r w:rsidR="003935BF" w:rsidRPr="00933303">
        <w:rPr>
          <w:rFonts w:asciiTheme="minorHAnsi" w:hAnsiTheme="minorHAnsi"/>
          <w:sz w:val="20"/>
        </w:rPr>
        <w:t>produce:</w:t>
      </w:r>
      <w:proofErr w:type="gramEnd"/>
      <w:r w:rsidR="003935BF" w:rsidRPr="00933303">
        <w:rPr>
          <w:rFonts w:asciiTheme="minorHAnsi" w:hAnsiTheme="minorHAnsi"/>
          <w:sz w:val="20"/>
        </w:rPr>
        <w:t xml:space="preserve"> </w:t>
      </w:r>
      <w:r w:rsidR="00EC43ED" w:rsidRPr="00933303">
        <w:rPr>
          <w:rFonts w:asciiTheme="minorHAnsi" w:hAnsiTheme="minorHAnsi"/>
          <w:sz w:val="20"/>
        </w:rPr>
        <w:t>larger cohorts of high calibre leaders for the charity sector</w:t>
      </w:r>
      <w:r w:rsidR="00667189" w:rsidRPr="00933303">
        <w:rPr>
          <w:rFonts w:asciiTheme="minorHAnsi" w:hAnsiTheme="minorHAnsi"/>
          <w:sz w:val="20"/>
        </w:rPr>
        <w:t>, with skills across governance, business planning, strategy, people management, workforce planning, technology uptake and evaluation.</w:t>
      </w:r>
    </w:p>
    <w:p w14:paraId="5EAD9EDF" w14:textId="2209ACE2" w:rsidR="008446F5" w:rsidRPr="00933303" w:rsidRDefault="00A17A10" w:rsidP="00603E84">
      <w:pPr>
        <w:pStyle w:val="ListParagraph"/>
        <w:numPr>
          <w:ilvl w:val="0"/>
          <w:numId w:val="48"/>
        </w:numPr>
        <w:shd w:val="clear" w:color="auto" w:fill="E3F5FA" w:themeFill="accent2" w:themeFillTint="33"/>
        <w:spacing w:after="120"/>
        <w:rPr>
          <w:rFonts w:asciiTheme="minorHAnsi" w:hAnsiTheme="minorHAnsi"/>
          <w:sz w:val="20"/>
        </w:rPr>
      </w:pPr>
      <w:r w:rsidRPr="00933303">
        <w:rPr>
          <w:rFonts w:asciiTheme="minorHAnsi" w:hAnsiTheme="minorHAnsi"/>
          <w:b/>
          <w:sz w:val="20"/>
        </w:rPr>
        <w:t>Fundraising -</w:t>
      </w:r>
      <w:r w:rsidRPr="00933303">
        <w:rPr>
          <w:rFonts w:asciiTheme="minorHAnsi" w:hAnsiTheme="minorHAnsi"/>
          <w:sz w:val="20"/>
        </w:rPr>
        <w:t xml:space="preserve"> </w:t>
      </w:r>
      <w:r w:rsidR="004B1936" w:rsidRPr="00933303">
        <w:rPr>
          <w:rFonts w:asciiTheme="minorHAnsi" w:hAnsiTheme="minorHAnsi"/>
          <w:sz w:val="20"/>
        </w:rPr>
        <w:t>C</w:t>
      </w:r>
      <w:r w:rsidR="00F57479" w:rsidRPr="00933303">
        <w:rPr>
          <w:rFonts w:asciiTheme="minorHAnsi" w:hAnsiTheme="minorHAnsi"/>
          <w:sz w:val="20"/>
        </w:rPr>
        <w:t xml:space="preserve">ontinuing to build a stronger cadre of fundraisers in the charity sector.  </w:t>
      </w:r>
    </w:p>
    <w:p w14:paraId="68487C04" w14:textId="3C3614DB" w:rsidR="004A3D52" w:rsidRPr="00933303" w:rsidRDefault="004A3D52" w:rsidP="00603E84">
      <w:pPr>
        <w:pStyle w:val="ListParagraph"/>
        <w:numPr>
          <w:ilvl w:val="0"/>
          <w:numId w:val="48"/>
        </w:numPr>
        <w:shd w:val="clear" w:color="auto" w:fill="E3F5FA" w:themeFill="accent2" w:themeFillTint="33"/>
        <w:spacing w:after="120"/>
        <w:rPr>
          <w:rFonts w:asciiTheme="minorHAnsi" w:hAnsiTheme="minorHAnsi"/>
          <w:sz w:val="20"/>
        </w:rPr>
      </w:pPr>
      <w:r w:rsidRPr="00933303">
        <w:rPr>
          <w:rFonts w:asciiTheme="minorHAnsi" w:hAnsiTheme="minorHAnsi"/>
          <w:b/>
          <w:sz w:val="20"/>
        </w:rPr>
        <w:t>Evaluation</w:t>
      </w:r>
      <w:r w:rsidR="00A51348" w:rsidRPr="00933303">
        <w:rPr>
          <w:rFonts w:asciiTheme="minorHAnsi" w:hAnsiTheme="minorHAnsi"/>
          <w:b/>
          <w:sz w:val="20"/>
        </w:rPr>
        <w:t xml:space="preserve"> </w:t>
      </w:r>
      <w:r w:rsidR="004B1936" w:rsidRPr="00933303">
        <w:rPr>
          <w:rFonts w:asciiTheme="minorHAnsi" w:hAnsiTheme="minorHAnsi"/>
          <w:b/>
          <w:sz w:val="20"/>
        </w:rPr>
        <w:t>–</w:t>
      </w:r>
      <w:r w:rsidR="00A51348" w:rsidRPr="00933303">
        <w:rPr>
          <w:rFonts w:asciiTheme="minorHAnsi" w:hAnsiTheme="minorHAnsi"/>
          <w:sz w:val="20"/>
        </w:rPr>
        <w:t xml:space="preserve"> </w:t>
      </w:r>
      <w:r w:rsidR="004B1936" w:rsidRPr="00933303">
        <w:rPr>
          <w:rFonts w:asciiTheme="minorHAnsi" w:hAnsiTheme="minorHAnsi"/>
          <w:sz w:val="20"/>
        </w:rPr>
        <w:t xml:space="preserve">with just 38 per cent of the not-for-profit sector collecting outcomes data, </w:t>
      </w:r>
      <w:r w:rsidR="00CC2BD7" w:rsidRPr="00933303">
        <w:rPr>
          <w:rFonts w:asciiTheme="minorHAnsi" w:hAnsiTheme="minorHAnsi"/>
          <w:sz w:val="20"/>
        </w:rPr>
        <w:t xml:space="preserve">more support to assist with evaluation and continuous improvement </w:t>
      </w:r>
      <w:r w:rsidR="0045443E" w:rsidRPr="00933303">
        <w:rPr>
          <w:rFonts w:asciiTheme="minorHAnsi" w:hAnsiTheme="minorHAnsi"/>
          <w:sz w:val="20"/>
        </w:rPr>
        <w:t xml:space="preserve">would help to lift impact.  </w:t>
      </w:r>
      <w:r w:rsidRPr="00933303">
        <w:rPr>
          <w:rFonts w:asciiTheme="minorHAnsi" w:hAnsiTheme="minorHAnsi"/>
          <w:sz w:val="20"/>
        </w:rPr>
        <w:t>The PC in 2010 recommended that the Australian Government should provide funding for the establishment of a Centre for Community Service Effectiveness to promote ‘best practice’ approaches to evaluation. (Rec 5.4).</w:t>
      </w:r>
    </w:p>
    <w:p w14:paraId="3FCA928D" w14:textId="77777777" w:rsidR="004A3D52" w:rsidRPr="00933303" w:rsidRDefault="004A3D52" w:rsidP="00603E84">
      <w:pPr>
        <w:pStyle w:val="ListParagraph"/>
        <w:numPr>
          <w:ilvl w:val="0"/>
          <w:numId w:val="48"/>
        </w:numPr>
        <w:shd w:val="clear" w:color="auto" w:fill="E3F5FA" w:themeFill="accent2" w:themeFillTint="33"/>
        <w:spacing w:after="120"/>
        <w:rPr>
          <w:rFonts w:asciiTheme="minorHAnsi" w:hAnsiTheme="minorHAnsi"/>
          <w:sz w:val="20"/>
        </w:rPr>
      </w:pPr>
      <w:r w:rsidRPr="00933303">
        <w:rPr>
          <w:rFonts w:asciiTheme="minorHAnsi" w:hAnsiTheme="minorHAnsi"/>
          <w:b/>
          <w:sz w:val="20"/>
        </w:rPr>
        <w:t xml:space="preserve">Social Innovation </w:t>
      </w:r>
      <w:r w:rsidRPr="00933303">
        <w:rPr>
          <w:rFonts w:asciiTheme="minorHAnsi" w:hAnsiTheme="minorHAnsi"/>
          <w:sz w:val="20"/>
        </w:rPr>
        <w:t>– In 2010 the PC recommended that major programs include a Social Innovation Fund to trial, test, evaluate, and if successful, expand new approaches (Rec 9.5).</w:t>
      </w:r>
    </w:p>
    <w:p w14:paraId="6A5F3668" w14:textId="5BCF32BD" w:rsidR="00D0482C" w:rsidRPr="00933303" w:rsidRDefault="00105F81" w:rsidP="0093465B">
      <w:pPr>
        <w:pStyle w:val="ListParagraph"/>
        <w:numPr>
          <w:ilvl w:val="0"/>
          <w:numId w:val="18"/>
        </w:numPr>
        <w:shd w:val="clear" w:color="auto" w:fill="E3F5FA" w:themeFill="accent2" w:themeFillTint="33"/>
        <w:spacing w:after="120"/>
        <w:rPr>
          <w:rFonts w:asciiTheme="minorHAnsi" w:hAnsiTheme="minorHAnsi"/>
          <w:b/>
          <w:bCs/>
          <w:sz w:val="20"/>
        </w:rPr>
      </w:pPr>
      <w:r w:rsidRPr="00933303">
        <w:rPr>
          <w:rFonts w:asciiTheme="minorHAnsi" w:hAnsiTheme="minorHAnsi"/>
          <w:b/>
          <w:bCs/>
          <w:sz w:val="20"/>
        </w:rPr>
        <w:t>A stronger, more equal partnership</w:t>
      </w:r>
      <w:r w:rsidR="005F7C1C" w:rsidRPr="00933303">
        <w:rPr>
          <w:rFonts w:asciiTheme="minorHAnsi" w:hAnsiTheme="minorHAnsi"/>
          <w:sz w:val="20"/>
        </w:rPr>
        <w:t>, including:</w:t>
      </w:r>
    </w:p>
    <w:p w14:paraId="540720E0" w14:textId="58F3FABA" w:rsidR="00DD0CF3" w:rsidRPr="00933303" w:rsidRDefault="00C14C96" w:rsidP="00603E84">
      <w:pPr>
        <w:numPr>
          <w:ilvl w:val="0"/>
          <w:numId w:val="47"/>
        </w:numPr>
        <w:shd w:val="clear" w:color="auto" w:fill="E3F5FA" w:themeFill="accent2" w:themeFillTint="33"/>
      </w:pPr>
      <w:r w:rsidRPr="00933303">
        <w:rPr>
          <w:b/>
        </w:rPr>
        <w:t xml:space="preserve">Completing the Fix Fundraising agenda.  </w:t>
      </w:r>
      <w:r w:rsidR="00DD0CF3" w:rsidRPr="00933303">
        <w:t xml:space="preserve">Creating a single national fundraising regulation regime – to replace the seven different State and Territory sets of rules – would cut costly and time-consuming red tape and enable more funds to go where they are needed most – helping people in need.  Now is the time to capitalise on recent momentum for reform, ending what has been government failure lasting decades that costs charity $15 million a year - money which should be going to support people in need.  </w:t>
      </w:r>
    </w:p>
    <w:p w14:paraId="773A07B8" w14:textId="65A8FE66" w:rsidR="00C14C96" w:rsidRPr="00933303" w:rsidRDefault="00C14C96" w:rsidP="00603E84">
      <w:pPr>
        <w:numPr>
          <w:ilvl w:val="0"/>
          <w:numId w:val="47"/>
        </w:numPr>
        <w:shd w:val="clear" w:color="auto" w:fill="E3F5FA" w:themeFill="accent2" w:themeFillTint="33"/>
      </w:pPr>
      <w:r w:rsidRPr="00933303">
        <w:rPr>
          <w:b/>
        </w:rPr>
        <w:t xml:space="preserve">Reducing red tape:  </w:t>
      </w:r>
      <w:r w:rsidRPr="00933303">
        <w:t xml:space="preserve">The PC found in 2010 there was too much ‘command and control’ by government officials, rather than recognising charities have expertise in how to deliver impact and should be partners in driving change.  This practice </w:t>
      </w:r>
      <w:r w:rsidR="000610EE" w:rsidRPr="00933303">
        <w:t>remains</w:t>
      </w:r>
      <w:r w:rsidRPr="00933303">
        <w:t xml:space="preserve"> prevalent today.  The PC recommended:</w:t>
      </w:r>
      <w:r w:rsidR="0039096C" w:rsidRPr="00933303">
        <w:t xml:space="preserve"> </w:t>
      </w:r>
      <w:r w:rsidRPr="00933303">
        <w:t>‘Australian governments should urgently review and streamline their tendering, contracting, reporting and acquittal requirements in the provision of services to reduce compliance costs. This should seek to ensure that the compliance burden associated with these requirements is proportionate to the funding provided and risk involved.’ (Rec 12.7)</w:t>
      </w:r>
    </w:p>
    <w:p w14:paraId="2A083350" w14:textId="2E15ECA3" w:rsidR="00C14C96" w:rsidRPr="00933303" w:rsidRDefault="00C14C96" w:rsidP="00603E84">
      <w:pPr>
        <w:numPr>
          <w:ilvl w:val="0"/>
          <w:numId w:val="47"/>
        </w:numPr>
        <w:shd w:val="clear" w:color="auto" w:fill="E3F5FA" w:themeFill="accent2" w:themeFillTint="33"/>
      </w:pPr>
      <w:r w:rsidRPr="00933303">
        <w:rPr>
          <w:b/>
        </w:rPr>
        <w:t xml:space="preserve">Full funding </w:t>
      </w:r>
      <w:r w:rsidRPr="00933303">
        <w:t>The PC recommended the government provide full funding to charities for services they would otherwise provide (Rec 11.1) and fully factor in market wage rates, the skills required and appropriate indexation (10.2).  The</w:t>
      </w:r>
      <w:r w:rsidR="00E0018C" w:rsidRPr="00933303">
        <w:t xml:space="preserve"> </w:t>
      </w:r>
      <w:hyperlink r:id="rId22" w:history="1">
        <w:r w:rsidR="00E0018C" w:rsidRPr="00933303">
          <w:rPr>
            <w:rStyle w:val="Hyperlink"/>
            <w:i/>
            <w:iCs/>
          </w:rPr>
          <w:t>Pay What it Takes</w:t>
        </w:r>
      </w:hyperlink>
      <w:r w:rsidRPr="00933303">
        <w:t xml:space="preserve"> campaign has highlighted this issue remains unaddressed.  In 2010, the PC noted:</w:t>
      </w:r>
      <w:r w:rsidR="0039096C" w:rsidRPr="00933303">
        <w:t xml:space="preserve"> </w:t>
      </w:r>
      <w:r w:rsidRPr="00933303">
        <w:t>‘With respect to the NFP workforce, governments should recognise the effect of not paying the full costs of service delivery. Part funding can make it difficult for NFPs to pay competitive wages to attract and retain workers, with the cumulative effects of underinvestment in workers, technology, and planning putting pressure on the quality and sustainability of service delivery. Full funding may be one of the most important steps to address the workforce issues in the relevant human services sectors.’</w:t>
      </w:r>
    </w:p>
    <w:p w14:paraId="17A55AD5" w14:textId="77777777" w:rsidR="00C14C96" w:rsidRPr="00933303" w:rsidRDefault="00C14C96" w:rsidP="00603E84">
      <w:pPr>
        <w:numPr>
          <w:ilvl w:val="0"/>
          <w:numId w:val="47"/>
        </w:numPr>
        <w:shd w:val="clear" w:color="auto" w:fill="E3F5FA" w:themeFill="accent2" w:themeFillTint="33"/>
      </w:pPr>
      <w:r w:rsidRPr="00933303">
        <w:rPr>
          <w:b/>
        </w:rPr>
        <w:t xml:space="preserve">Improving funding certainty:  </w:t>
      </w:r>
      <w:r w:rsidRPr="00933303">
        <w:t xml:space="preserve">Too many contracts are for 1-2 years without a clear policy rationale, making it difficult for charities to attract and retain talented staff and plan for the long term.  Resources that could go into service delivery are needlessly wasted on government relations and </w:t>
      </w:r>
      <w:r w:rsidRPr="00933303">
        <w:lastRenderedPageBreak/>
        <w:t xml:space="preserve">administration.  As the PC recommended in 2010: </w:t>
      </w:r>
      <w:r w:rsidRPr="00933303">
        <w:rPr>
          <w:b/>
        </w:rPr>
        <w:t>‘</w:t>
      </w:r>
      <w:r w:rsidRPr="00933303">
        <w:t>The length of service agreements and contracts should reflect the length of the period required to achieve agreed outcomes rather than having arbitrary or standard contract periods.’ (Rec 12.5).</w:t>
      </w:r>
    </w:p>
    <w:p w14:paraId="0C088931" w14:textId="77777777" w:rsidR="00300ADD" w:rsidRPr="00933303" w:rsidRDefault="00300ADD" w:rsidP="00226288">
      <w:pPr>
        <w:pStyle w:val="Heading4"/>
        <w:rPr>
          <w:rFonts w:asciiTheme="minorHAnsi" w:hAnsiTheme="minorHAnsi"/>
        </w:rPr>
      </w:pPr>
      <w:bookmarkStart w:id="19" w:name="_Toc126341225"/>
      <w:r w:rsidRPr="00933303">
        <w:rPr>
          <w:rFonts w:asciiTheme="minorHAnsi" w:hAnsiTheme="minorHAnsi"/>
        </w:rPr>
        <w:t>The Case for Change</w:t>
      </w:r>
    </w:p>
    <w:p w14:paraId="3E83DB37" w14:textId="44287872" w:rsidR="00300ADD" w:rsidRPr="00933303" w:rsidRDefault="00300ADD" w:rsidP="0093465B">
      <w:pPr>
        <w:numPr>
          <w:ilvl w:val="0"/>
          <w:numId w:val="21"/>
        </w:numPr>
        <w:rPr>
          <w:b/>
        </w:rPr>
      </w:pPr>
      <w:r w:rsidRPr="00933303">
        <w:rPr>
          <w:b/>
        </w:rPr>
        <w:t xml:space="preserve">The charity sector </w:t>
      </w:r>
      <w:bookmarkEnd w:id="19"/>
      <w:r w:rsidR="00791559" w:rsidRPr="00933303">
        <w:rPr>
          <w:b/>
        </w:rPr>
        <w:t xml:space="preserve">plays a massive role creating a stronger, more equal society </w:t>
      </w:r>
      <w:r w:rsidR="007D69C8" w:rsidRPr="00933303">
        <w:rPr>
          <w:b/>
        </w:rPr>
        <w:t>and a more sustainable environment.</w:t>
      </w:r>
    </w:p>
    <w:p w14:paraId="2B1BEA8B" w14:textId="3C423F0D" w:rsidR="00EA5E24" w:rsidRPr="00933303" w:rsidRDefault="00EA5E24" w:rsidP="00603E84">
      <w:pPr>
        <w:pStyle w:val="ListContinue"/>
        <w:numPr>
          <w:ilvl w:val="0"/>
          <w:numId w:val="49"/>
        </w:numPr>
        <w:spacing w:before="0" w:after="120"/>
        <w:rPr>
          <w:rFonts w:eastAsia="Calibri"/>
        </w:rPr>
      </w:pPr>
      <w:r w:rsidRPr="00933303">
        <w:rPr>
          <w:rFonts w:eastAsia="Calibri"/>
        </w:rPr>
        <w:t>Our charities big and small – like the Royal Flying Doctor Service, Smith Family, Fred Hollows</w:t>
      </w:r>
      <w:r w:rsidR="00F16D88" w:rsidRPr="00933303">
        <w:rPr>
          <w:rFonts w:eastAsia="Calibri"/>
        </w:rPr>
        <w:t xml:space="preserve"> </w:t>
      </w:r>
      <w:r w:rsidRPr="00933303">
        <w:rPr>
          <w:rFonts w:eastAsia="Calibri"/>
        </w:rPr>
        <w:t xml:space="preserve">and Foodbank - help millions of people in need every year </w:t>
      </w:r>
      <w:r w:rsidR="00F614B2" w:rsidRPr="00933303">
        <w:rPr>
          <w:rFonts w:eastAsia="Calibri"/>
        </w:rPr>
        <w:t xml:space="preserve">and work </w:t>
      </w:r>
      <w:r w:rsidRPr="00933303">
        <w:rPr>
          <w:rFonts w:eastAsia="Calibri"/>
        </w:rPr>
        <w:t xml:space="preserve">across every area of social </w:t>
      </w:r>
      <w:r w:rsidR="000542DE" w:rsidRPr="00933303">
        <w:rPr>
          <w:rFonts w:eastAsia="Calibri"/>
        </w:rPr>
        <w:t>policy</w:t>
      </w:r>
      <w:r w:rsidRPr="00933303">
        <w:rPr>
          <w:rFonts w:eastAsia="Calibri"/>
        </w:rPr>
        <w:t xml:space="preserve">.  </w:t>
      </w:r>
      <w:r w:rsidR="000542DE" w:rsidRPr="00933303">
        <w:rPr>
          <w:rFonts w:eastAsia="Calibri"/>
        </w:rPr>
        <w:t xml:space="preserve">Charities like the Australian Conservation Foundation and The Wilderness Society help preserve our natural environment.  </w:t>
      </w:r>
      <w:r w:rsidRPr="00933303">
        <w:rPr>
          <w:rFonts w:eastAsia="Calibri"/>
        </w:rPr>
        <w:t xml:space="preserve">Where would we be without our great Australian charities?  </w:t>
      </w:r>
    </w:p>
    <w:p w14:paraId="688DE447" w14:textId="26E55CCB" w:rsidR="00EF6804" w:rsidRPr="00933303" w:rsidRDefault="00EF6804" w:rsidP="0093465B">
      <w:pPr>
        <w:pStyle w:val="ListContinue"/>
        <w:numPr>
          <w:ilvl w:val="0"/>
          <w:numId w:val="21"/>
        </w:numPr>
        <w:spacing w:before="0" w:after="120"/>
        <w:rPr>
          <w:rFonts w:eastAsia="Calibri"/>
          <w:b/>
          <w:bCs/>
        </w:rPr>
      </w:pPr>
      <w:r w:rsidRPr="00933303">
        <w:rPr>
          <w:rFonts w:eastAsia="Calibri"/>
          <w:b/>
          <w:bCs/>
        </w:rPr>
        <w:t>Lifting productivity and impact.</w:t>
      </w:r>
    </w:p>
    <w:p w14:paraId="637DB295" w14:textId="6C54406C" w:rsidR="00300ADD" w:rsidRPr="00933303" w:rsidRDefault="00300ADD" w:rsidP="00603E84">
      <w:pPr>
        <w:pStyle w:val="ListContinue"/>
        <w:numPr>
          <w:ilvl w:val="0"/>
          <w:numId w:val="49"/>
        </w:numPr>
        <w:spacing w:before="0" w:after="120"/>
        <w:rPr>
          <w:rFonts w:eastAsia="Calibri"/>
        </w:rPr>
      </w:pPr>
      <w:bookmarkStart w:id="20" w:name="_Toc126341226"/>
      <w:r w:rsidRPr="00933303">
        <w:rPr>
          <w:rFonts w:eastAsia="Calibri"/>
        </w:rPr>
        <w:t>The charity sector includes around 60,000 organisations and employs more than 11 per cent of the Australian workforce, more than either retail or construction.</w:t>
      </w:r>
      <w:bookmarkEnd w:id="20"/>
      <w:r w:rsidR="000B6BD1" w:rsidRPr="00933303">
        <w:rPr>
          <w:rFonts w:eastAsia="Calibri"/>
        </w:rPr>
        <w:t xml:space="preserve">  Enhancing the capability of the sector can enhance its critical impact and make a meaningful contribution to national productivity, the key driver of our living standards.  </w:t>
      </w:r>
    </w:p>
    <w:p w14:paraId="69828297" w14:textId="4FFA6082" w:rsidR="00300ADD" w:rsidRPr="00933303" w:rsidRDefault="00072A63" w:rsidP="0093465B">
      <w:pPr>
        <w:pStyle w:val="ListParagraph"/>
        <w:numPr>
          <w:ilvl w:val="0"/>
          <w:numId w:val="21"/>
        </w:numPr>
        <w:spacing w:after="120"/>
        <w:rPr>
          <w:rFonts w:asciiTheme="minorHAnsi" w:hAnsiTheme="minorHAnsi"/>
          <w:b/>
          <w:sz w:val="20"/>
        </w:rPr>
      </w:pPr>
      <w:bookmarkStart w:id="21" w:name="_Toc126341228"/>
      <w:r w:rsidRPr="00933303">
        <w:rPr>
          <w:rFonts w:asciiTheme="minorHAnsi" w:hAnsiTheme="minorHAnsi"/>
          <w:b/>
          <w:sz w:val="20"/>
        </w:rPr>
        <w:t xml:space="preserve">Stronger capability and impact </w:t>
      </w:r>
      <w:r w:rsidR="00FA2EBC" w:rsidRPr="00933303">
        <w:rPr>
          <w:rFonts w:asciiTheme="minorHAnsi" w:hAnsiTheme="minorHAnsi"/>
          <w:b/>
          <w:sz w:val="20"/>
        </w:rPr>
        <w:t xml:space="preserve">will lift </w:t>
      </w:r>
      <w:r w:rsidR="0096332D" w:rsidRPr="00933303">
        <w:rPr>
          <w:rFonts w:asciiTheme="minorHAnsi" w:hAnsiTheme="minorHAnsi"/>
          <w:b/>
          <w:sz w:val="20"/>
        </w:rPr>
        <w:t>national giving by</w:t>
      </w:r>
      <w:r w:rsidR="00C57871" w:rsidRPr="00933303">
        <w:rPr>
          <w:rFonts w:asciiTheme="minorHAnsi" w:hAnsiTheme="minorHAnsi"/>
          <w:b/>
          <w:sz w:val="20"/>
        </w:rPr>
        <w:t xml:space="preserve"> giving donors</w:t>
      </w:r>
      <w:r w:rsidR="00FA2EBC" w:rsidRPr="00933303">
        <w:rPr>
          <w:rFonts w:asciiTheme="minorHAnsi" w:hAnsiTheme="minorHAnsi"/>
          <w:b/>
          <w:sz w:val="20"/>
        </w:rPr>
        <w:t xml:space="preserve"> confidence their </w:t>
      </w:r>
      <w:r w:rsidR="0096332D" w:rsidRPr="00933303">
        <w:rPr>
          <w:rFonts w:asciiTheme="minorHAnsi" w:hAnsiTheme="minorHAnsi"/>
          <w:b/>
          <w:sz w:val="20"/>
        </w:rPr>
        <w:t xml:space="preserve">donations will make a difference.  </w:t>
      </w:r>
      <w:bookmarkEnd w:id="21"/>
    </w:p>
    <w:p w14:paraId="4ED8BD89" w14:textId="050FB1E0" w:rsidR="00300ADD" w:rsidRPr="00933303" w:rsidRDefault="00300ADD" w:rsidP="00603E84">
      <w:pPr>
        <w:pStyle w:val="ListContinue"/>
        <w:numPr>
          <w:ilvl w:val="0"/>
          <w:numId w:val="49"/>
        </w:numPr>
        <w:spacing w:before="0" w:after="120"/>
      </w:pPr>
      <w:bookmarkStart w:id="22" w:name="_Toc126341229"/>
      <w:r w:rsidRPr="00933303">
        <w:rPr>
          <w:rFonts w:eastAsia="Calibri"/>
        </w:rPr>
        <w:t>Polling</w:t>
      </w:r>
      <w:r w:rsidRPr="00933303">
        <w:t xml:space="preserve"> and focus groups conducted by Redbridge in late 2022 showed that while there is substantial support for the work of charities, including a view that they can spend money more flexibly and effectively than government, there remains some caution about the transparency of donations.</w:t>
      </w:r>
      <w:bookmarkEnd w:id="22"/>
    </w:p>
    <w:p w14:paraId="6BEC1313" w14:textId="77777777" w:rsidR="00300ADD" w:rsidRPr="00933303" w:rsidRDefault="00300ADD" w:rsidP="00D10861">
      <w:pPr>
        <w:ind w:left="340"/>
        <w:rPr>
          <w:iCs/>
        </w:rPr>
      </w:pPr>
      <w:bookmarkStart w:id="23" w:name="_Toc126341230"/>
      <w:bookmarkStart w:id="24" w:name="_Hlk126135477"/>
      <w:r w:rsidRPr="00933303">
        <w:rPr>
          <w:iCs/>
        </w:rPr>
        <w:t>“For financial donations, how do we know where it's going? How do we know how it's helping?”</w:t>
      </w:r>
      <w:bookmarkEnd w:id="23"/>
      <w:r w:rsidRPr="00933303">
        <w:rPr>
          <w:iCs/>
        </w:rPr>
        <w:t xml:space="preserve"> </w:t>
      </w:r>
    </w:p>
    <w:p w14:paraId="5AA4A5BB" w14:textId="77777777" w:rsidR="00300ADD" w:rsidRPr="00933303" w:rsidRDefault="00300ADD" w:rsidP="00D10861">
      <w:pPr>
        <w:ind w:left="340"/>
        <w:rPr>
          <w:iCs/>
        </w:rPr>
      </w:pPr>
      <w:bookmarkStart w:id="25" w:name="_Toc126341231"/>
      <w:r w:rsidRPr="00933303">
        <w:rPr>
          <w:iCs/>
        </w:rPr>
        <w:t>“I like to donate to an organisation that has a good profile and reputation and to be able to see where the money is going,”</w:t>
      </w:r>
      <w:bookmarkEnd w:id="25"/>
      <w:r w:rsidRPr="00933303">
        <w:rPr>
          <w:iCs/>
        </w:rPr>
        <w:t xml:space="preserve"> </w:t>
      </w:r>
    </w:p>
    <w:p w14:paraId="7976CB13" w14:textId="77777777" w:rsidR="00300ADD" w:rsidRPr="00933303" w:rsidRDefault="00300ADD" w:rsidP="00D10861">
      <w:pPr>
        <w:ind w:left="340"/>
        <w:rPr>
          <w:iCs/>
        </w:rPr>
      </w:pPr>
      <w:bookmarkStart w:id="26" w:name="_Toc126341232"/>
      <w:r w:rsidRPr="00933303">
        <w:rPr>
          <w:iCs/>
        </w:rPr>
        <w:t>“Knowing the organisation or the cause [is important]. I like to have confidence in the organisation, a brand I can trust.”</w:t>
      </w:r>
      <w:bookmarkEnd w:id="26"/>
      <w:r w:rsidRPr="00933303">
        <w:rPr>
          <w:iCs/>
        </w:rPr>
        <w:t xml:space="preserve"> </w:t>
      </w:r>
      <w:bookmarkEnd w:id="24"/>
    </w:p>
    <w:p w14:paraId="7B240D49" w14:textId="31C1C128" w:rsidR="00C528E3" w:rsidRPr="00933303" w:rsidRDefault="00D10861" w:rsidP="00603E84">
      <w:pPr>
        <w:pStyle w:val="ListParagraph"/>
        <w:numPr>
          <w:ilvl w:val="0"/>
          <w:numId w:val="49"/>
        </w:numPr>
        <w:spacing w:after="120"/>
        <w:rPr>
          <w:rFonts w:asciiTheme="minorHAnsi" w:hAnsiTheme="minorHAnsi"/>
          <w:sz w:val="20"/>
        </w:rPr>
      </w:pPr>
      <w:r w:rsidRPr="00933303">
        <w:rPr>
          <w:rFonts w:asciiTheme="minorHAnsi" w:hAnsiTheme="minorHAnsi"/>
          <w:sz w:val="20"/>
        </w:rPr>
        <w:t>A stronger charity sector</w:t>
      </w:r>
      <w:r w:rsidR="00C528E3" w:rsidRPr="00933303">
        <w:rPr>
          <w:rFonts w:asciiTheme="minorHAnsi" w:hAnsiTheme="minorHAnsi"/>
          <w:sz w:val="20"/>
        </w:rPr>
        <w:t xml:space="preserve"> will give donors </w:t>
      </w:r>
      <w:r w:rsidRPr="00933303">
        <w:rPr>
          <w:rFonts w:asciiTheme="minorHAnsi" w:hAnsiTheme="minorHAnsi"/>
          <w:sz w:val="20"/>
        </w:rPr>
        <w:t>increased confidence to give, knowing their donation will deliver impact.</w:t>
      </w:r>
      <w:r w:rsidR="00C528E3" w:rsidRPr="00933303">
        <w:rPr>
          <w:rFonts w:asciiTheme="minorHAnsi" w:hAnsiTheme="minorHAnsi"/>
          <w:sz w:val="20"/>
        </w:rPr>
        <w:t xml:space="preserve"> </w:t>
      </w:r>
    </w:p>
    <w:p w14:paraId="7BD45C54" w14:textId="75D2FFCF" w:rsidR="00EA1326" w:rsidRPr="00933303" w:rsidRDefault="00EA1326" w:rsidP="0093465B">
      <w:pPr>
        <w:pStyle w:val="ListParagraph"/>
        <w:numPr>
          <w:ilvl w:val="0"/>
          <w:numId w:val="21"/>
        </w:numPr>
        <w:spacing w:after="120"/>
        <w:rPr>
          <w:rFonts w:asciiTheme="minorHAnsi" w:hAnsiTheme="minorHAnsi"/>
          <w:b/>
          <w:bCs/>
          <w:sz w:val="20"/>
        </w:rPr>
      </w:pPr>
      <w:r w:rsidRPr="00933303">
        <w:rPr>
          <w:rFonts w:asciiTheme="minorHAnsi" w:hAnsiTheme="minorHAnsi"/>
          <w:b/>
          <w:bCs/>
          <w:sz w:val="20"/>
        </w:rPr>
        <w:t xml:space="preserve">It’s time for </w:t>
      </w:r>
      <w:proofErr w:type="gramStart"/>
      <w:r w:rsidRPr="00933303">
        <w:rPr>
          <w:rFonts w:asciiTheme="minorHAnsi" w:hAnsiTheme="minorHAnsi"/>
          <w:b/>
          <w:bCs/>
          <w:sz w:val="20"/>
        </w:rPr>
        <w:t>government</w:t>
      </w:r>
      <w:proofErr w:type="gramEnd"/>
      <w:r w:rsidRPr="00933303">
        <w:rPr>
          <w:rFonts w:asciiTheme="minorHAnsi" w:hAnsiTheme="minorHAnsi"/>
          <w:b/>
          <w:bCs/>
          <w:sz w:val="20"/>
        </w:rPr>
        <w:t xml:space="preserve"> to be a better partner with charities</w:t>
      </w:r>
      <w:r w:rsidR="003D0B26" w:rsidRPr="00933303">
        <w:rPr>
          <w:rFonts w:asciiTheme="minorHAnsi" w:hAnsiTheme="minorHAnsi"/>
          <w:b/>
          <w:bCs/>
          <w:sz w:val="20"/>
        </w:rPr>
        <w:t>.</w:t>
      </w:r>
    </w:p>
    <w:p w14:paraId="3BA618BB" w14:textId="5B1AD9EF" w:rsidR="00353FC5" w:rsidRPr="00933303" w:rsidRDefault="0070226B" w:rsidP="00603E84">
      <w:pPr>
        <w:pStyle w:val="ListParagraph"/>
        <w:numPr>
          <w:ilvl w:val="0"/>
          <w:numId w:val="49"/>
        </w:numPr>
        <w:spacing w:after="120"/>
        <w:rPr>
          <w:rFonts w:asciiTheme="minorHAnsi" w:hAnsiTheme="minorHAnsi"/>
          <w:sz w:val="20"/>
        </w:rPr>
      </w:pPr>
      <w:r w:rsidRPr="00933303">
        <w:rPr>
          <w:rFonts w:asciiTheme="minorHAnsi" w:hAnsiTheme="minorHAnsi"/>
          <w:sz w:val="20"/>
        </w:rPr>
        <w:t>As numerous reports have shown, for too long governments have not been the best possible partners to Australia’s charities</w:t>
      </w:r>
      <w:r w:rsidR="00C84E08" w:rsidRPr="00933303">
        <w:rPr>
          <w:rFonts w:asciiTheme="minorHAnsi" w:hAnsiTheme="minorHAnsi"/>
          <w:sz w:val="20"/>
        </w:rPr>
        <w:t xml:space="preserve">.  There has been too much ‘command and control’, rather than </w:t>
      </w:r>
      <w:r w:rsidR="004F0166" w:rsidRPr="00933303">
        <w:rPr>
          <w:rFonts w:asciiTheme="minorHAnsi" w:hAnsiTheme="minorHAnsi"/>
          <w:sz w:val="20"/>
        </w:rPr>
        <w:t xml:space="preserve">partnering in ways that recognize charities know a lot about how to have impact.  </w:t>
      </w:r>
      <w:r w:rsidR="00AC5FD3" w:rsidRPr="00933303">
        <w:rPr>
          <w:rFonts w:asciiTheme="minorHAnsi" w:hAnsiTheme="minorHAnsi"/>
          <w:sz w:val="20"/>
        </w:rPr>
        <w:t>Inconsistent fundraising regimes across states have persisted for decades</w:t>
      </w:r>
      <w:r w:rsidR="004A1D90" w:rsidRPr="00933303">
        <w:rPr>
          <w:rFonts w:asciiTheme="minorHAnsi" w:hAnsiTheme="minorHAnsi"/>
          <w:sz w:val="20"/>
        </w:rPr>
        <w:t xml:space="preserve">, costing charities dearly, without being resolved.  Governments continue to </w:t>
      </w:r>
      <w:r w:rsidR="008421DD" w:rsidRPr="00933303">
        <w:rPr>
          <w:rFonts w:asciiTheme="minorHAnsi" w:hAnsiTheme="minorHAnsi"/>
          <w:sz w:val="20"/>
        </w:rPr>
        <w:t xml:space="preserve">issue contracts without paying full costs for service provision, and regularly provide short-term contract extensions, leaving charities </w:t>
      </w:r>
      <w:r w:rsidR="00B433D5" w:rsidRPr="00933303">
        <w:rPr>
          <w:rFonts w:asciiTheme="minorHAnsi" w:hAnsiTheme="minorHAnsi"/>
          <w:sz w:val="20"/>
        </w:rPr>
        <w:t xml:space="preserve">in constant fear of being </w:t>
      </w:r>
      <w:proofErr w:type="gramStart"/>
      <w:r w:rsidR="00B433D5" w:rsidRPr="00933303">
        <w:rPr>
          <w:rFonts w:asciiTheme="minorHAnsi" w:hAnsiTheme="minorHAnsi"/>
          <w:sz w:val="20"/>
        </w:rPr>
        <w:t>closed down</w:t>
      </w:r>
      <w:proofErr w:type="gramEnd"/>
      <w:r w:rsidR="00B433D5" w:rsidRPr="00933303">
        <w:rPr>
          <w:rFonts w:asciiTheme="minorHAnsi" w:hAnsiTheme="minorHAnsi"/>
          <w:sz w:val="20"/>
        </w:rPr>
        <w:t xml:space="preserve">, unable to retain </w:t>
      </w:r>
      <w:r w:rsidR="00F50976" w:rsidRPr="00933303">
        <w:rPr>
          <w:rFonts w:asciiTheme="minorHAnsi" w:hAnsiTheme="minorHAnsi"/>
          <w:sz w:val="20"/>
        </w:rPr>
        <w:t xml:space="preserve">great staff and plan for the future.  </w:t>
      </w:r>
      <w:r w:rsidR="00B433D5" w:rsidRPr="00933303">
        <w:rPr>
          <w:rFonts w:asciiTheme="minorHAnsi" w:hAnsiTheme="minorHAnsi"/>
          <w:sz w:val="20"/>
        </w:rPr>
        <w:t xml:space="preserve"> </w:t>
      </w:r>
      <w:r w:rsidR="00F50976" w:rsidRPr="00933303">
        <w:rPr>
          <w:rFonts w:asciiTheme="minorHAnsi" w:hAnsiTheme="minorHAnsi"/>
          <w:sz w:val="20"/>
        </w:rPr>
        <w:t xml:space="preserve">These issues can readily be fixed.  </w:t>
      </w:r>
      <w:r w:rsidR="0057348A" w:rsidRPr="00933303">
        <w:rPr>
          <w:rFonts w:asciiTheme="minorHAnsi" w:hAnsiTheme="minorHAnsi"/>
          <w:sz w:val="20"/>
        </w:rPr>
        <w:t>The time for action is long past due.</w:t>
      </w:r>
      <w:r w:rsidR="00F50976" w:rsidRPr="00933303">
        <w:rPr>
          <w:rFonts w:asciiTheme="minorHAnsi" w:hAnsiTheme="minorHAnsi"/>
          <w:sz w:val="20"/>
        </w:rPr>
        <w:t xml:space="preserve">  </w:t>
      </w:r>
    </w:p>
    <w:p w14:paraId="1DEE74A2" w14:textId="08934C94" w:rsidR="005A72F0" w:rsidRPr="008E5399" w:rsidRDefault="005A72F0" w:rsidP="00353FC5">
      <w:pPr>
        <w:rPr>
          <w:rFonts w:ascii="DM Sans" w:eastAsiaTheme="majorEastAsia" w:hAnsi="DM Sans" w:cstheme="majorBidi"/>
          <w:b/>
          <w:bCs/>
          <w:color w:val="3D7EDB" w:themeColor="accent1"/>
        </w:rPr>
      </w:pPr>
      <w:r w:rsidRPr="008E5399">
        <w:rPr>
          <w:rFonts w:ascii="DM Sans" w:hAnsi="DM Sans"/>
        </w:rPr>
        <w:br w:type="page"/>
      </w:r>
    </w:p>
    <w:p w14:paraId="0D4F3042" w14:textId="2027477E" w:rsidR="00722442" w:rsidRPr="008E5399" w:rsidRDefault="006D4A4B" w:rsidP="0093465B">
      <w:pPr>
        <w:pStyle w:val="Heading2NoNumbering"/>
        <w:numPr>
          <w:ilvl w:val="0"/>
          <w:numId w:val="26"/>
        </w:numPr>
        <w:rPr>
          <w:rFonts w:ascii="DM Sans" w:hAnsi="DM Sans"/>
        </w:rPr>
      </w:pPr>
      <w:bookmarkStart w:id="27" w:name="_Toc153841134"/>
      <w:r w:rsidRPr="008E5399">
        <w:rPr>
          <w:rFonts w:ascii="DM Sans" w:hAnsi="DM Sans"/>
        </w:rPr>
        <w:lastRenderedPageBreak/>
        <w:t>Freedom to advocate</w:t>
      </w:r>
      <w:bookmarkEnd w:id="27"/>
    </w:p>
    <w:p w14:paraId="0D9DE163" w14:textId="07C3E9D2" w:rsidR="005A72F0" w:rsidRPr="008E5399" w:rsidRDefault="009555B2" w:rsidP="009555B2">
      <w:pPr>
        <w:pStyle w:val="Heading4"/>
        <w:shd w:val="clear" w:color="auto" w:fill="E3F5FA" w:themeFill="accent2" w:themeFillTint="33"/>
        <w:rPr>
          <w:rFonts w:ascii="DM Sans" w:hAnsi="DM Sans"/>
        </w:rPr>
      </w:pPr>
      <w:r w:rsidRPr="008E5399">
        <w:rPr>
          <w:rFonts w:ascii="DM Sans" w:hAnsi="DM Sans"/>
        </w:rPr>
        <w:t xml:space="preserve">The Reform </w:t>
      </w:r>
    </w:p>
    <w:p w14:paraId="1B29C3FB" w14:textId="57FDD315" w:rsidR="009555B2" w:rsidRPr="008E5399" w:rsidRDefault="009555B2" w:rsidP="009555B2">
      <w:pPr>
        <w:shd w:val="clear" w:color="auto" w:fill="E3F5FA" w:themeFill="accent2" w:themeFillTint="33"/>
        <w:rPr>
          <w:rFonts w:ascii="DM Sans" w:hAnsi="DM Sans"/>
        </w:rPr>
      </w:pPr>
      <w:r w:rsidRPr="008E5399">
        <w:rPr>
          <w:rFonts w:ascii="DM Sans" w:hAnsi="DM Sans"/>
          <w:b/>
          <w:bCs/>
        </w:rPr>
        <w:t>Establish a Freedom to Advocate Act</w:t>
      </w:r>
      <w:r w:rsidRPr="008E5399">
        <w:rPr>
          <w:rFonts w:ascii="DM Sans" w:hAnsi="DM Sans"/>
        </w:rPr>
        <w:t xml:space="preserve">, </w:t>
      </w:r>
      <w:r w:rsidR="003E3F16" w:rsidRPr="008E5399">
        <w:rPr>
          <w:rFonts w:ascii="DM Sans" w:hAnsi="DM Sans"/>
        </w:rPr>
        <w:t xml:space="preserve">helping to </w:t>
      </w:r>
      <w:proofErr w:type="gramStart"/>
      <w:r w:rsidR="003E3F16" w:rsidRPr="008E5399">
        <w:rPr>
          <w:rFonts w:ascii="DM Sans" w:hAnsi="DM Sans"/>
        </w:rPr>
        <w:t>ensure</w:t>
      </w:r>
      <w:r w:rsidR="000E2A63" w:rsidRPr="008E5399">
        <w:rPr>
          <w:rFonts w:ascii="DM Sans" w:hAnsi="DM Sans"/>
        </w:rPr>
        <w:t>:</w:t>
      </w:r>
      <w:proofErr w:type="gramEnd"/>
      <w:r w:rsidR="003E3F16" w:rsidRPr="008E5399">
        <w:rPr>
          <w:rFonts w:ascii="DM Sans" w:hAnsi="DM Sans"/>
        </w:rPr>
        <w:t xml:space="preserve"> charities can advocate for policy reforms</w:t>
      </w:r>
      <w:r w:rsidR="000E2A63" w:rsidRPr="008E5399">
        <w:rPr>
          <w:rFonts w:ascii="DM Sans" w:hAnsi="DM Sans"/>
        </w:rPr>
        <w:t xml:space="preserve">; and contracts to provide government </w:t>
      </w:r>
      <w:r w:rsidR="001239D0" w:rsidRPr="008E5399">
        <w:rPr>
          <w:rFonts w:ascii="DM Sans" w:hAnsi="DM Sans"/>
        </w:rPr>
        <w:t>services do not include ‘gag clauses’.</w:t>
      </w:r>
    </w:p>
    <w:p w14:paraId="1D500191" w14:textId="4B8F0F31" w:rsidR="009555B2" w:rsidRPr="008E5399" w:rsidRDefault="00B417AC" w:rsidP="00B417AC">
      <w:pPr>
        <w:pStyle w:val="Heading4"/>
        <w:rPr>
          <w:rFonts w:ascii="DM Sans" w:hAnsi="DM Sans"/>
        </w:rPr>
      </w:pPr>
      <w:r w:rsidRPr="008E5399">
        <w:rPr>
          <w:rFonts w:ascii="DM Sans" w:hAnsi="DM Sans"/>
        </w:rPr>
        <w:t>The Rationale</w:t>
      </w:r>
    </w:p>
    <w:p w14:paraId="2CCDE383" w14:textId="53AD8019" w:rsidR="008123A9" w:rsidRPr="00014E97" w:rsidRDefault="008123A9" w:rsidP="00603E84">
      <w:pPr>
        <w:numPr>
          <w:ilvl w:val="0"/>
          <w:numId w:val="50"/>
        </w:numPr>
        <w:rPr>
          <w:b/>
          <w:bCs/>
        </w:rPr>
      </w:pPr>
      <w:r w:rsidRPr="00014E97">
        <w:rPr>
          <w:b/>
          <w:bCs/>
        </w:rPr>
        <w:t xml:space="preserve">Over the past decade, governments have sought </w:t>
      </w:r>
      <w:r w:rsidR="005F50FE" w:rsidRPr="00014E97">
        <w:rPr>
          <w:b/>
          <w:bCs/>
        </w:rPr>
        <w:t>to limit advocacy by the charity sector.</w:t>
      </w:r>
    </w:p>
    <w:p w14:paraId="350D3E8A" w14:textId="44134B14" w:rsidR="005F50FE" w:rsidRPr="00014E97" w:rsidRDefault="00222D60" w:rsidP="00603E84">
      <w:pPr>
        <w:pStyle w:val="ListParagraph"/>
        <w:numPr>
          <w:ilvl w:val="0"/>
          <w:numId w:val="49"/>
        </w:numPr>
        <w:spacing w:after="120"/>
        <w:rPr>
          <w:rFonts w:asciiTheme="minorHAnsi" w:hAnsiTheme="minorHAnsi"/>
          <w:sz w:val="20"/>
        </w:rPr>
      </w:pPr>
      <w:r w:rsidRPr="00014E97">
        <w:rPr>
          <w:rFonts w:asciiTheme="minorHAnsi" w:hAnsiTheme="minorHAnsi"/>
          <w:sz w:val="20"/>
        </w:rPr>
        <w:t xml:space="preserve">In 2022, </w:t>
      </w:r>
      <w:r w:rsidR="007A1D4E" w:rsidRPr="00014E97">
        <w:rPr>
          <w:rFonts w:asciiTheme="minorHAnsi" w:hAnsiTheme="minorHAnsi"/>
          <w:sz w:val="20"/>
        </w:rPr>
        <w:t xml:space="preserve">27 per cent of </w:t>
      </w:r>
      <w:r w:rsidRPr="00014E97">
        <w:rPr>
          <w:rFonts w:asciiTheme="minorHAnsi" w:hAnsiTheme="minorHAnsi"/>
          <w:sz w:val="20"/>
        </w:rPr>
        <w:t xml:space="preserve">community sector organisations reported having contract conditions </w:t>
      </w:r>
      <w:r w:rsidR="00B34CAE" w:rsidRPr="00014E97">
        <w:rPr>
          <w:rFonts w:asciiTheme="minorHAnsi" w:hAnsiTheme="minorHAnsi"/>
          <w:sz w:val="20"/>
        </w:rPr>
        <w:t>that explicitly precluded systemic advocacy.</w:t>
      </w:r>
    </w:p>
    <w:p w14:paraId="6E432FDC" w14:textId="7DB8B6B1" w:rsidR="00B34CAE" w:rsidRPr="00014E97" w:rsidRDefault="00D8482A" w:rsidP="00603E84">
      <w:pPr>
        <w:pStyle w:val="ListParagraph"/>
        <w:numPr>
          <w:ilvl w:val="0"/>
          <w:numId w:val="49"/>
        </w:numPr>
        <w:spacing w:after="120"/>
        <w:rPr>
          <w:rFonts w:asciiTheme="minorHAnsi" w:hAnsiTheme="minorHAnsi"/>
          <w:sz w:val="20"/>
        </w:rPr>
      </w:pPr>
      <w:r w:rsidRPr="00014E97">
        <w:rPr>
          <w:rFonts w:asciiTheme="minorHAnsi" w:hAnsiTheme="minorHAnsi"/>
          <w:sz w:val="20"/>
        </w:rPr>
        <w:t xml:space="preserve">The charity sector was moved in 2017 to establish an alliance – Hands Off Our Charities </w:t>
      </w:r>
      <w:r w:rsidR="008D3007" w:rsidRPr="00014E97">
        <w:rPr>
          <w:rFonts w:asciiTheme="minorHAnsi" w:hAnsiTheme="minorHAnsi"/>
          <w:sz w:val="20"/>
        </w:rPr>
        <w:t>–</w:t>
      </w:r>
      <w:r w:rsidR="003A0B60" w:rsidRPr="00014E97">
        <w:rPr>
          <w:rFonts w:asciiTheme="minorHAnsi" w:hAnsiTheme="minorHAnsi"/>
          <w:sz w:val="20"/>
        </w:rPr>
        <w:t xml:space="preserve"> to</w:t>
      </w:r>
      <w:r w:rsidR="00E30C29" w:rsidRPr="00014E97">
        <w:rPr>
          <w:rFonts w:asciiTheme="minorHAnsi" w:hAnsiTheme="minorHAnsi"/>
          <w:sz w:val="20"/>
        </w:rPr>
        <w:t xml:space="preserve"> </w:t>
      </w:r>
      <w:r w:rsidR="008D3007" w:rsidRPr="00014E97">
        <w:rPr>
          <w:rFonts w:asciiTheme="minorHAnsi" w:hAnsiTheme="minorHAnsi"/>
          <w:sz w:val="20"/>
        </w:rPr>
        <w:t>respond to proposed bills that would have limited the capacity of charities to advocate on issues of national significance</w:t>
      </w:r>
      <w:r w:rsidR="0062328E" w:rsidRPr="00014E97">
        <w:rPr>
          <w:rFonts w:asciiTheme="minorHAnsi" w:hAnsiTheme="minorHAnsi"/>
          <w:sz w:val="20"/>
        </w:rPr>
        <w:t>.</w:t>
      </w:r>
    </w:p>
    <w:p w14:paraId="0E85AF43" w14:textId="085D633E" w:rsidR="00417B4B" w:rsidRPr="00014E97" w:rsidRDefault="00DC51A5" w:rsidP="00603E84">
      <w:pPr>
        <w:numPr>
          <w:ilvl w:val="0"/>
          <w:numId w:val="50"/>
        </w:numPr>
        <w:rPr>
          <w:b/>
          <w:bCs/>
        </w:rPr>
      </w:pPr>
      <w:r w:rsidRPr="00014E97">
        <w:rPr>
          <w:b/>
          <w:bCs/>
        </w:rPr>
        <w:t xml:space="preserve">The incoming </w:t>
      </w:r>
      <w:r w:rsidR="002361B8" w:rsidRPr="00014E97">
        <w:rPr>
          <w:b/>
          <w:bCs/>
        </w:rPr>
        <w:t>Federal</w:t>
      </w:r>
      <w:r w:rsidRPr="00014E97">
        <w:rPr>
          <w:b/>
          <w:bCs/>
        </w:rPr>
        <w:t xml:space="preserve"> Government indicated it would protect the right of charities to advocate</w:t>
      </w:r>
      <w:r w:rsidR="00417B4B" w:rsidRPr="00014E97">
        <w:rPr>
          <w:b/>
          <w:bCs/>
        </w:rPr>
        <w:t xml:space="preserve"> for policy reform.</w:t>
      </w:r>
    </w:p>
    <w:p w14:paraId="7FD68EDE" w14:textId="6522F99A" w:rsidR="00417B4B" w:rsidRPr="00014E97" w:rsidRDefault="009D716D" w:rsidP="00603E84">
      <w:pPr>
        <w:pStyle w:val="ListParagraph"/>
        <w:numPr>
          <w:ilvl w:val="0"/>
          <w:numId w:val="51"/>
        </w:numPr>
        <w:rPr>
          <w:rFonts w:asciiTheme="minorHAnsi" w:hAnsiTheme="minorHAnsi"/>
          <w:sz w:val="20"/>
        </w:rPr>
      </w:pPr>
      <w:r w:rsidRPr="00014E97">
        <w:rPr>
          <w:rFonts w:asciiTheme="minorHAnsi" w:hAnsiTheme="minorHAnsi"/>
          <w:sz w:val="20"/>
        </w:rPr>
        <w:t xml:space="preserve">Incoming Charities Minister Andrew Leigh pledged the Government would restore the freedom to advocate, including by removing </w:t>
      </w:r>
      <w:r w:rsidR="00137B59" w:rsidRPr="00014E97">
        <w:rPr>
          <w:rFonts w:asciiTheme="minorHAnsi" w:hAnsiTheme="minorHAnsi"/>
          <w:sz w:val="20"/>
        </w:rPr>
        <w:t xml:space="preserve">‘gag clauses’ </w:t>
      </w:r>
      <w:r w:rsidR="00462EC0" w:rsidRPr="00014E97">
        <w:rPr>
          <w:rFonts w:asciiTheme="minorHAnsi" w:hAnsiTheme="minorHAnsi"/>
          <w:sz w:val="20"/>
        </w:rPr>
        <w:t>from contract</w:t>
      </w:r>
      <w:r w:rsidR="009300AA" w:rsidRPr="00014E97">
        <w:rPr>
          <w:rFonts w:asciiTheme="minorHAnsi" w:hAnsiTheme="minorHAnsi"/>
          <w:sz w:val="20"/>
        </w:rPr>
        <w:t>s</w:t>
      </w:r>
      <w:r w:rsidR="00462EC0" w:rsidRPr="00014E97">
        <w:rPr>
          <w:rFonts w:asciiTheme="minorHAnsi" w:hAnsiTheme="minorHAnsi"/>
          <w:sz w:val="20"/>
        </w:rPr>
        <w:t xml:space="preserve"> </w:t>
      </w:r>
      <w:r w:rsidR="00137B59" w:rsidRPr="00014E97">
        <w:rPr>
          <w:rFonts w:asciiTheme="minorHAnsi" w:hAnsiTheme="minorHAnsi"/>
          <w:sz w:val="20"/>
        </w:rPr>
        <w:t xml:space="preserve">and </w:t>
      </w:r>
      <w:r w:rsidR="002361B8" w:rsidRPr="00014E97">
        <w:rPr>
          <w:rFonts w:asciiTheme="minorHAnsi" w:hAnsiTheme="minorHAnsi"/>
          <w:sz w:val="20"/>
        </w:rPr>
        <w:t xml:space="preserve">good </w:t>
      </w:r>
      <w:r w:rsidR="00137B59" w:rsidRPr="00014E97">
        <w:rPr>
          <w:rFonts w:asciiTheme="minorHAnsi" w:hAnsiTheme="minorHAnsi"/>
          <w:sz w:val="20"/>
        </w:rPr>
        <w:t xml:space="preserve">progress has been made.  </w:t>
      </w:r>
      <w:r w:rsidR="008C0D0D" w:rsidRPr="00014E97">
        <w:rPr>
          <w:rFonts w:asciiTheme="minorHAnsi" w:hAnsiTheme="minorHAnsi"/>
          <w:sz w:val="20"/>
        </w:rPr>
        <w:t xml:space="preserve">Dr Leigh </w:t>
      </w:r>
      <w:r w:rsidR="000B5361">
        <w:rPr>
          <w:rFonts w:asciiTheme="minorHAnsi" w:hAnsiTheme="minorHAnsi"/>
          <w:sz w:val="20"/>
        </w:rPr>
        <w:t xml:space="preserve">has </w:t>
      </w:r>
      <w:r w:rsidR="00586D45" w:rsidRPr="00014E97">
        <w:rPr>
          <w:rFonts w:asciiTheme="minorHAnsi" w:hAnsiTheme="minorHAnsi"/>
          <w:sz w:val="20"/>
        </w:rPr>
        <w:t>indicated he w</w:t>
      </w:r>
      <w:r w:rsidR="000B5361">
        <w:rPr>
          <w:rFonts w:asciiTheme="minorHAnsi" w:hAnsiTheme="minorHAnsi"/>
          <w:sz w:val="20"/>
        </w:rPr>
        <w:t>ill</w:t>
      </w:r>
      <w:r w:rsidR="00586D45" w:rsidRPr="00014E97">
        <w:rPr>
          <w:rFonts w:asciiTheme="minorHAnsi" w:hAnsiTheme="minorHAnsi"/>
          <w:sz w:val="20"/>
        </w:rPr>
        <w:t xml:space="preserve"> value </w:t>
      </w:r>
      <w:r w:rsidR="00462EC0" w:rsidRPr="00014E97">
        <w:rPr>
          <w:rFonts w:asciiTheme="minorHAnsi" w:hAnsiTheme="minorHAnsi"/>
          <w:sz w:val="20"/>
        </w:rPr>
        <w:t xml:space="preserve">the advice of </w:t>
      </w:r>
      <w:r w:rsidR="00B67537" w:rsidRPr="00014E97">
        <w:rPr>
          <w:rFonts w:asciiTheme="minorHAnsi" w:hAnsiTheme="minorHAnsi"/>
          <w:sz w:val="20"/>
        </w:rPr>
        <w:t>charities</w:t>
      </w:r>
      <w:r w:rsidR="00462EC0" w:rsidRPr="00014E97">
        <w:rPr>
          <w:rFonts w:asciiTheme="minorHAnsi" w:hAnsiTheme="minorHAnsi"/>
          <w:sz w:val="20"/>
        </w:rPr>
        <w:t xml:space="preserve">, even when it </w:t>
      </w:r>
      <w:r w:rsidR="000B5361">
        <w:rPr>
          <w:rFonts w:asciiTheme="minorHAnsi" w:hAnsiTheme="minorHAnsi"/>
          <w:sz w:val="20"/>
        </w:rPr>
        <w:t>i</w:t>
      </w:r>
      <w:r w:rsidR="00462EC0" w:rsidRPr="00014E97">
        <w:rPr>
          <w:rFonts w:asciiTheme="minorHAnsi" w:hAnsiTheme="minorHAnsi"/>
          <w:sz w:val="20"/>
        </w:rPr>
        <w:t>s critical of government policy.</w:t>
      </w:r>
    </w:p>
    <w:p w14:paraId="11EFF478" w14:textId="057CEE8D" w:rsidR="003C6A63" w:rsidRPr="00014E97" w:rsidRDefault="003C6A63" w:rsidP="00603E84">
      <w:pPr>
        <w:pStyle w:val="ListParagraph"/>
        <w:numPr>
          <w:ilvl w:val="0"/>
          <w:numId w:val="51"/>
        </w:numPr>
        <w:spacing w:after="120"/>
        <w:rPr>
          <w:rFonts w:asciiTheme="minorHAnsi" w:hAnsiTheme="minorHAnsi"/>
          <w:sz w:val="20"/>
        </w:rPr>
      </w:pPr>
      <w:r w:rsidRPr="00014E97">
        <w:rPr>
          <w:rFonts w:asciiTheme="minorHAnsi" w:hAnsiTheme="minorHAnsi"/>
          <w:sz w:val="20"/>
        </w:rPr>
        <w:t xml:space="preserve">Dr Leigh indicated Labor would explore implementing a </w:t>
      </w:r>
      <w:r w:rsidR="009A2713" w:rsidRPr="00014E97">
        <w:rPr>
          <w:rFonts w:asciiTheme="minorHAnsi" w:hAnsiTheme="minorHAnsi"/>
          <w:sz w:val="20"/>
        </w:rPr>
        <w:t>Freedom to Advocate Act, which ha</w:t>
      </w:r>
      <w:r w:rsidR="00B67537" w:rsidRPr="00014E97">
        <w:rPr>
          <w:rFonts w:asciiTheme="minorHAnsi" w:hAnsiTheme="minorHAnsi"/>
          <w:sz w:val="20"/>
        </w:rPr>
        <w:t>d</w:t>
      </w:r>
      <w:r w:rsidR="009A2713" w:rsidRPr="00014E97">
        <w:rPr>
          <w:rFonts w:asciiTheme="minorHAnsi" w:hAnsiTheme="minorHAnsi"/>
          <w:sz w:val="20"/>
        </w:rPr>
        <w:t xml:space="preserve"> been pursued by the previous Labor Government in 2013</w:t>
      </w:r>
      <w:r w:rsidR="00CD12D9" w:rsidRPr="00014E97">
        <w:rPr>
          <w:rFonts w:asciiTheme="minorHAnsi" w:hAnsiTheme="minorHAnsi"/>
          <w:sz w:val="20"/>
        </w:rPr>
        <w:t xml:space="preserve">, to more firmly enshrine the right of charities to advocate.  </w:t>
      </w:r>
      <w:r w:rsidR="009300AA" w:rsidRPr="00014E97">
        <w:rPr>
          <w:rFonts w:asciiTheme="minorHAnsi" w:hAnsiTheme="minorHAnsi"/>
          <w:sz w:val="20"/>
        </w:rPr>
        <w:t>This should be pursued as part of the Government’s response to this Charity Blueprint process.</w:t>
      </w:r>
    </w:p>
    <w:p w14:paraId="69E8E122" w14:textId="2B208C30" w:rsidR="009555B2" w:rsidRPr="00014E97" w:rsidRDefault="00993A40" w:rsidP="00603E84">
      <w:pPr>
        <w:numPr>
          <w:ilvl w:val="0"/>
          <w:numId w:val="50"/>
        </w:numPr>
        <w:rPr>
          <w:b/>
          <w:bCs/>
        </w:rPr>
      </w:pPr>
      <w:r w:rsidRPr="00014E97">
        <w:rPr>
          <w:b/>
          <w:bCs/>
        </w:rPr>
        <w:t xml:space="preserve">Charities work </w:t>
      </w:r>
      <w:r w:rsidR="009B347C" w:rsidRPr="00014E97">
        <w:rPr>
          <w:b/>
          <w:bCs/>
        </w:rPr>
        <w:t>across all areas of social and environmental policy, so their real</w:t>
      </w:r>
      <w:r w:rsidR="009300AA" w:rsidRPr="00014E97">
        <w:rPr>
          <w:b/>
          <w:bCs/>
        </w:rPr>
        <w:t>-</w:t>
      </w:r>
      <w:r w:rsidR="009B347C" w:rsidRPr="00014E97">
        <w:rPr>
          <w:b/>
          <w:bCs/>
        </w:rPr>
        <w:t>world experience can be a vital ‘value-add’ in informing</w:t>
      </w:r>
      <w:r w:rsidR="00255654" w:rsidRPr="00014E97">
        <w:rPr>
          <w:b/>
          <w:bCs/>
        </w:rPr>
        <w:t xml:space="preserve"> and improving</w:t>
      </w:r>
      <w:r w:rsidR="009B347C" w:rsidRPr="00014E97">
        <w:rPr>
          <w:b/>
          <w:bCs/>
        </w:rPr>
        <w:t xml:space="preserve"> </w:t>
      </w:r>
      <w:r w:rsidR="007C15D1" w:rsidRPr="00014E97">
        <w:rPr>
          <w:b/>
          <w:bCs/>
        </w:rPr>
        <w:t>national policy</w:t>
      </w:r>
    </w:p>
    <w:p w14:paraId="1548D99D" w14:textId="4E6C02F3" w:rsidR="009555B2" w:rsidRPr="00A24BE2" w:rsidRDefault="00A24BE2" w:rsidP="00603E84">
      <w:pPr>
        <w:pStyle w:val="ListNumber2"/>
        <w:numPr>
          <w:ilvl w:val="0"/>
          <w:numId w:val="52"/>
        </w:numPr>
        <w:rPr>
          <w:rFonts w:ascii="DM Sans" w:hAnsi="DM Sans"/>
        </w:rPr>
      </w:pPr>
      <w:r w:rsidRPr="008E5399">
        <w:rPr>
          <w:rFonts w:ascii="DM Sans" w:hAnsi="DM Sans"/>
        </w:rPr>
        <w:t>Charities, because they work at the coalface, play a crucial role in advocacy, alerting government to critical needs and ensuring policy is designed in ways that will meet the needs of end users.</w:t>
      </w:r>
      <w:r>
        <w:rPr>
          <w:rFonts w:ascii="DM Sans" w:hAnsi="DM Sans"/>
        </w:rPr>
        <w:t xml:space="preserve">  They </w:t>
      </w:r>
      <w:r w:rsidR="00CF77D6" w:rsidRPr="00A24BE2">
        <w:t xml:space="preserve">gain enormous insights into how to improve policy </w:t>
      </w:r>
      <w:r w:rsidR="00D56B21" w:rsidRPr="00A24BE2">
        <w:t>t</w:t>
      </w:r>
      <w:r w:rsidR="00DA3D50" w:rsidRPr="00A24BE2">
        <w:t>hrough their</w:t>
      </w:r>
      <w:r w:rsidR="00D56B21" w:rsidRPr="00A24BE2">
        <w:t>:</w:t>
      </w:r>
      <w:r w:rsidR="00DA3D50" w:rsidRPr="00A24BE2">
        <w:t xml:space="preserve"> </w:t>
      </w:r>
      <w:r w:rsidR="00D56B21" w:rsidRPr="00A24BE2">
        <w:t xml:space="preserve">engagement of people with lived experience; </w:t>
      </w:r>
      <w:r w:rsidR="00DA3D50" w:rsidRPr="00A24BE2">
        <w:t>service deliver</w:t>
      </w:r>
      <w:r w:rsidRPr="00A24BE2">
        <w:t>y</w:t>
      </w:r>
      <w:r w:rsidR="00DA3D50" w:rsidRPr="00A24BE2">
        <w:t xml:space="preserve"> for millions of Australians</w:t>
      </w:r>
      <w:r w:rsidR="00D56B21" w:rsidRPr="00A24BE2">
        <w:t>;</w:t>
      </w:r>
      <w:r w:rsidR="00CF77D6" w:rsidRPr="00A24BE2">
        <w:t xml:space="preserve"> and extensive </w:t>
      </w:r>
      <w:r w:rsidR="00D56B21" w:rsidRPr="00A24BE2">
        <w:t xml:space="preserve">engagement of local communities.  </w:t>
      </w:r>
      <w:r w:rsidR="008943C4" w:rsidRPr="00A24BE2">
        <w:t>These are critical insights to inform government policy</w:t>
      </w:r>
      <w:r w:rsidR="0076020E" w:rsidRPr="00A24BE2">
        <w:t xml:space="preserve"> and program delivery.</w:t>
      </w:r>
    </w:p>
    <w:p w14:paraId="5165455B" w14:textId="69576175" w:rsidR="0046373D" w:rsidRDefault="0046373D" w:rsidP="00603E84">
      <w:pPr>
        <w:pStyle w:val="ListParagraph"/>
        <w:numPr>
          <w:ilvl w:val="0"/>
          <w:numId w:val="52"/>
        </w:numPr>
        <w:rPr>
          <w:rFonts w:asciiTheme="minorHAnsi" w:hAnsiTheme="minorHAnsi"/>
          <w:sz w:val="20"/>
        </w:rPr>
      </w:pPr>
      <w:r w:rsidRPr="00014E97">
        <w:rPr>
          <w:rFonts w:asciiTheme="minorHAnsi" w:hAnsiTheme="minorHAnsi"/>
          <w:sz w:val="20"/>
        </w:rPr>
        <w:t>Charities see what’s really happening in local communities</w:t>
      </w:r>
      <w:r w:rsidR="0015554D">
        <w:rPr>
          <w:rFonts w:asciiTheme="minorHAnsi" w:hAnsiTheme="minorHAnsi"/>
          <w:sz w:val="20"/>
        </w:rPr>
        <w:t>, so can alert government to critical unmet needs.  For instance, charities</w:t>
      </w:r>
      <w:r w:rsidR="009B4B32">
        <w:rPr>
          <w:rFonts w:asciiTheme="minorHAnsi" w:hAnsiTheme="minorHAnsi"/>
          <w:sz w:val="20"/>
        </w:rPr>
        <w:t xml:space="preserve"> have witnessed the challenges faced by p</w:t>
      </w:r>
      <w:r w:rsidRPr="00014E97">
        <w:rPr>
          <w:rFonts w:asciiTheme="minorHAnsi" w:hAnsiTheme="minorHAnsi"/>
          <w:sz w:val="20"/>
        </w:rPr>
        <w:t xml:space="preserve">eople living </w:t>
      </w:r>
      <w:r w:rsidR="005B33A5" w:rsidRPr="00014E97">
        <w:rPr>
          <w:rFonts w:asciiTheme="minorHAnsi" w:hAnsiTheme="minorHAnsi"/>
          <w:sz w:val="20"/>
        </w:rPr>
        <w:t xml:space="preserve">below the poverty line on Newstart </w:t>
      </w:r>
      <w:r w:rsidR="009B4B32">
        <w:rPr>
          <w:rFonts w:asciiTheme="minorHAnsi" w:hAnsiTheme="minorHAnsi"/>
          <w:sz w:val="20"/>
        </w:rPr>
        <w:t xml:space="preserve">and have responded via the </w:t>
      </w:r>
      <w:r w:rsidR="005B33A5" w:rsidRPr="00014E97">
        <w:rPr>
          <w:rFonts w:asciiTheme="minorHAnsi" w:hAnsiTheme="minorHAnsi"/>
          <w:sz w:val="20"/>
        </w:rPr>
        <w:t>Raise the Rate</w:t>
      </w:r>
      <w:r w:rsidR="007867A7">
        <w:rPr>
          <w:rFonts w:asciiTheme="minorHAnsi" w:hAnsiTheme="minorHAnsi"/>
          <w:sz w:val="20"/>
        </w:rPr>
        <w:t xml:space="preserve"> campaign</w:t>
      </w:r>
      <w:r w:rsidR="005B33A5" w:rsidRPr="00014E97">
        <w:rPr>
          <w:rFonts w:asciiTheme="minorHAnsi" w:hAnsiTheme="minorHAnsi"/>
          <w:sz w:val="20"/>
        </w:rPr>
        <w:t xml:space="preserve">, which helped </w:t>
      </w:r>
      <w:r w:rsidR="0098114A" w:rsidRPr="00014E97">
        <w:rPr>
          <w:rFonts w:asciiTheme="minorHAnsi" w:hAnsiTheme="minorHAnsi"/>
          <w:sz w:val="20"/>
        </w:rPr>
        <w:t>to influence government to lift income support for Australians in need.</w:t>
      </w:r>
    </w:p>
    <w:p w14:paraId="36BC0113" w14:textId="1AA4E64D" w:rsidR="001D1091" w:rsidRDefault="001766AD" w:rsidP="00603E84">
      <w:pPr>
        <w:pStyle w:val="ListParagraph"/>
        <w:numPr>
          <w:ilvl w:val="0"/>
          <w:numId w:val="52"/>
        </w:numPr>
        <w:rPr>
          <w:rFonts w:asciiTheme="minorHAnsi" w:hAnsiTheme="minorHAnsi"/>
          <w:sz w:val="20"/>
        </w:rPr>
      </w:pPr>
      <w:r w:rsidRPr="001D1091">
        <w:rPr>
          <w:rFonts w:asciiTheme="minorHAnsi" w:hAnsiTheme="minorHAnsi"/>
          <w:sz w:val="20"/>
        </w:rPr>
        <w:t xml:space="preserve">Often with philanthropic support, charities </w:t>
      </w:r>
      <w:r w:rsidR="00DF7507" w:rsidRPr="001D1091">
        <w:rPr>
          <w:rFonts w:asciiTheme="minorHAnsi" w:hAnsiTheme="minorHAnsi"/>
          <w:sz w:val="20"/>
        </w:rPr>
        <w:t xml:space="preserve">trial and evaluate new approaches, leading to </w:t>
      </w:r>
      <w:r w:rsidR="00B75FA6" w:rsidRPr="001D1091">
        <w:rPr>
          <w:rFonts w:asciiTheme="minorHAnsi" w:hAnsiTheme="minorHAnsi"/>
          <w:sz w:val="20"/>
        </w:rPr>
        <w:t xml:space="preserve">better ways of helping people in need.  </w:t>
      </w:r>
      <w:r w:rsidR="000361C1" w:rsidRPr="001D1091">
        <w:rPr>
          <w:rFonts w:asciiTheme="minorHAnsi" w:hAnsiTheme="minorHAnsi"/>
          <w:sz w:val="20"/>
        </w:rPr>
        <w:t xml:space="preserve">For example, Beyond Blue </w:t>
      </w:r>
      <w:proofErr w:type="gramStart"/>
      <w:r w:rsidR="000361C1" w:rsidRPr="001D1091">
        <w:rPr>
          <w:rFonts w:asciiTheme="minorHAnsi" w:hAnsiTheme="minorHAnsi"/>
          <w:sz w:val="20"/>
        </w:rPr>
        <w:t>trialed</w:t>
      </w:r>
      <w:proofErr w:type="gramEnd"/>
      <w:r w:rsidR="000361C1" w:rsidRPr="001D1091">
        <w:rPr>
          <w:rFonts w:asciiTheme="minorHAnsi" w:hAnsiTheme="minorHAnsi"/>
          <w:sz w:val="20"/>
        </w:rPr>
        <w:t xml:space="preserve"> The Way Back Support Service, </w:t>
      </w:r>
      <w:r w:rsidR="001D1091">
        <w:rPr>
          <w:rFonts w:asciiTheme="minorHAnsi" w:hAnsiTheme="minorHAnsi"/>
          <w:sz w:val="20"/>
        </w:rPr>
        <w:t xml:space="preserve">a new approach to aftercare </w:t>
      </w:r>
      <w:r w:rsidR="00865993">
        <w:rPr>
          <w:rFonts w:asciiTheme="minorHAnsi" w:hAnsiTheme="minorHAnsi"/>
          <w:sz w:val="20"/>
        </w:rPr>
        <w:t xml:space="preserve">helping people who are suicidal to get life back on track.  The program is now being spun off and </w:t>
      </w:r>
      <w:r w:rsidR="00846EC7">
        <w:rPr>
          <w:rFonts w:asciiTheme="minorHAnsi" w:hAnsiTheme="minorHAnsi"/>
          <w:sz w:val="20"/>
        </w:rPr>
        <w:t>rolled out nationally.</w:t>
      </w:r>
    </w:p>
    <w:p w14:paraId="69DDCD48" w14:textId="77777777" w:rsidR="00982504" w:rsidRPr="008E5399" w:rsidRDefault="00982504" w:rsidP="00603E84">
      <w:pPr>
        <w:pStyle w:val="ListContinue"/>
        <w:numPr>
          <w:ilvl w:val="0"/>
          <w:numId w:val="52"/>
        </w:numPr>
        <w:rPr>
          <w:rFonts w:ascii="DM Sans" w:eastAsia="Calibri" w:hAnsi="DM Sans"/>
        </w:rPr>
      </w:pPr>
      <w:r w:rsidRPr="008E5399">
        <w:rPr>
          <w:rFonts w:ascii="DM Sans" w:eastAsia="Calibri" w:hAnsi="DM Sans"/>
        </w:rPr>
        <w:t>Civil society often plays a critical role in building public support that creates an environment in which politicians can feel comfortable pursuing reform.</w:t>
      </w:r>
    </w:p>
    <w:p w14:paraId="6AAB8493" w14:textId="7EEC0E32" w:rsidR="00982504" w:rsidRPr="004C6509" w:rsidRDefault="00845171" w:rsidP="00603E84">
      <w:pPr>
        <w:pStyle w:val="ListParagraph"/>
        <w:numPr>
          <w:ilvl w:val="0"/>
          <w:numId w:val="52"/>
        </w:numPr>
        <w:rPr>
          <w:rFonts w:asciiTheme="minorHAnsi" w:hAnsiTheme="minorHAnsi"/>
          <w:sz w:val="20"/>
        </w:rPr>
      </w:pPr>
      <w:r w:rsidRPr="007B5F5F">
        <w:rPr>
          <w:rFonts w:ascii="DM Sans" w:hAnsi="DM Sans"/>
          <w:sz w:val="20"/>
        </w:rPr>
        <w:t xml:space="preserve">Philanthropic support for advocacy – because it can be independent of government – can produce bold and rigorous reform propositions.  It can also be massively cost-effective, as relatively modest investments can drive major changes to significant government policies and funding.  </w:t>
      </w:r>
      <w:r w:rsidR="004C6509">
        <w:rPr>
          <w:rFonts w:ascii="DM Sans" w:hAnsi="DM Sans"/>
          <w:sz w:val="20"/>
        </w:rPr>
        <w:t>For instance:</w:t>
      </w:r>
    </w:p>
    <w:p w14:paraId="5C2CE90C" w14:textId="09D79937" w:rsidR="004C6509" w:rsidRPr="00DA7AFC" w:rsidRDefault="00DA7AFC" w:rsidP="00603E84">
      <w:pPr>
        <w:pStyle w:val="ListParagraph"/>
        <w:numPr>
          <w:ilvl w:val="1"/>
          <w:numId w:val="52"/>
        </w:numPr>
        <w:rPr>
          <w:rFonts w:asciiTheme="minorHAnsi" w:hAnsiTheme="minorHAnsi"/>
          <w:sz w:val="20"/>
        </w:rPr>
      </w:pPr>
      <w:r>
        <w:rPr>
          <w:rFonts w:ascii="DM Sans" w:hAnsi="DM Sans"/>
          <w:sz w:val="20"/>
        </w:rPr>
        <w:t>A</w:t>
      </w:r>
      <w:r w:rsidR="004C6509" w:rsidRPr="002A30A8">
        <w:rPr>
          <w:rFonts w:ascii="DM Sans" w:hAnsi="DM Sans"/>
          <w:sz w:val="20"/>
        </w:rPr>
        <w:t xml:space="preserve"> $100,000 grant from the Origin Foundation to the Grattan Institute to examine the impact of remote schooling on students from low-income families was a key catalyst behind </w:t>
      </w:r>
      <w:r w:rsidR="002A30A8">
        <w:rPr>
          <w:rFonts w:ascii="DM Sans" w:hAnsi="DM Sans"/>
          <w:sz w:val="20"/>
        </w:rPr>
        <w:t xml:space="preserve">more than $1.7 billion </w:t>
      </w:r>
      <w:r w:rsidR="004C6509" w:rsidRPr="002A30A8">
        <w:rPr>
          <w:rFonts w:ascii="DM Sans" w:hAnsi="DM Sans"/>
          <w:sz w:val="20"/>
        </w:rPr>
        <w:t xml:space="preserve">in investment in tutoring programs for affected children across Victoria, </w:t>
      </w:r>
      <w:proofErr w:type="gramStart"/>
      <w:r w:rsidR="004C6509" w:rsidRPr="002A30A8">
        <w:rPr>
          <w:rFonts w:ascii="DM Sans" w:hAnsi="DM Sans"/>
          <w:sz w:val="20"/>
        </w:rPr>
        <w:t>NSW</w:t>
      </w:r>
      <w:proofErr w:type="gramEnd"/>
      <w:r w:rsidR="004C6509" w:rsidRPr="002A30A8">
        <w:rPr>
          <w:rFonts w:ascii="DM Sans" w:hAnsi="DM Sans"/>
          <w:sz w:val="20"/>
        </w:rPr>
        <w:t xml:space="preserve"> and South Australia.</w:t>
      </w:r>
    </w:p>
    <w:p w14:paraId="21D7C5CA" w14:textId="22F5CAE8" w:rsidR="0098114A" w:rsidRPr="00CC07E2" w:rsidRDefault="00DA7AFC" w:rsidP="00603E84">
      <w:pPr>
        <w:pStyle w:val="ListParagraph"/>
        <w:numPr>
          <w:ilvl w:val="1"/>
          <w:numId w:val="52"/>
        </w:numPr>
        <w:rPr>
          <w:rFonts w:asciiTheme="minorHAnsi" w:hAnsiTheme="minorHAnsi"/>
          <w:sz w:val="20"/>
        </w:rPr>
      </w:pPr>
      <w:r>
        <w:rPr>
          <w:rFonts w:ascii="DM Sans" w:hAnsi="DM Sans"/>
          <w:sz w:val="20"/>
        </w:rPr>
        <w:t>Grattan has been influential in a suite of areas across government, such as its recommendations for</w:t>
      </w:r>
      <w:r w:rsidR="0098114A" w:rsidRPr="00CC07E2">
        <w:t xml:space="preserve"> cheaper childcare to lift productivity and participation, and create more opportunities for working families.</w:t>
      </w:r>
    </w:p>
    <w:p w14:paraId="1F0CFF80" w14:textId="789D3BD1" w:rsidR="00290F89" w:rsidRPr="0000124E" w:rsidRDefault="00290F89" w:rsidP="0000124E">
      <w:pPr>
        <w:rPr>
          <w:rFonts w:ascii="DM Sans" w:eastAsiaTheme="majorEastAsia" w:hAnsi="DM Sans" w:cstheme="majorBidi"/>
          <w:b/>
          <w:bCs/>
          <w:color w:val="3D7EDB" w:themeColor="accent1"/>
          <w:sz w:val="24"/>
        </w:rPr>
      </w:pPr>
      <w:r w:rsidRPr="008E5399">
        <w:rPr>
          <w:rFonts w:ascii="DM Sans" w:eastAsia="MS ??" w:hAnsi="DM Sans"/>
        </w:rPr>
        <w:br w:type="page"/>
      </w:r>
    </w:p>
    <w:p w14:paraId="091AA564" w14:textId="77777777" w:rsidR="004F685B" w:rsidRPr="008E5399" w:rsidRDefault="004F685B" w:rsidP="00931547">
      <w:pPr>
        <w:pStyle w:val="BodyText"/>
        <w:pageBreakBefore/>
        <w:rPr>
          <w:rFonts w:ascii="DM Sans" w:hAnsi="DM Sans"/>
        </w:rPr>
      </w:pPr>
      <w:r w:rsidRPr="008E5399">
        <w:rPr>
          <w:rFonts w:ascii="DM Sans" w:hAnsi="DM Sans"/>
          <w:noProof/>
        </w:rPr>
        <w:lastRenderedPageBreak/>
        <mc:AlternateContent>
          <mc:Choice Requires="wpc">
            <w:drawing>
              <wp:anchor distT="0" distB="0" distL="114300" distR="114300" simplePos="0" relativeHeight="251658240" behindDoc="1" locked="0" layoutInCell="1" allowOverlap="1" wp14:anchorId="79FFA571" wp14:editId="011C94DD">
                <wp:simplePos x="723900" y="723900"/>
                <wp:positionH relativeFrom="page">
                  <wp:align>left</wp:align>
                </wp:positionH>
                <wp:positionV relativeFrom="page">
                  <wp:align>top</wp:align>
                </wp:positionV>
                <wp:extent cx="7560000" cy="10692000"/>
                <wp:effectExtent l="0" t="0" r="3175" b="0"/>
                <wp:wrapTopAndBottom/>
                <wp:docPr id="19" name="Canvas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6" name="Picture 16" descr="Icon&#10;&#10;Description automatically generated"/>
                          <pic:cNvPicPr preferRelativeResize="0">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wps:wsp>
                        <wps:cNvPr id="17" name="Text Box 10"/>
                        <wps:cNvSpPr txBox="1"/>
                        <wps:spPr>
                          <a:xfrm>
                            <a:off x="4630345" y="8534400"/>
                            <a:ext cx="2617986" cy="1943779"/>
                          </a:xfrm>
                          <a:prstGeom prst="rect">
                            <a:avLst/>
                          </a:prstGeom>
                          <a:noFill/>
                          <a:ln w="6350">
                            <a:noFill/>
                          </a:ln>
                        </wps:spPr>
                        <wps:txbx>
                          <w:txbxContent>
                            <w:p w14:paraId="1C1D2061" w14:textId="6571C5C2" w:rsidR="004F685B" w:rsidRPr="008D2475" w:rsidRDefault="004F685B" w:rsidP="008D2475">
                              <w:pPr>
                                <w:pStyle w:val="BackPageTextBoxTextWhite"/>
                                <w:rPr>
                                  <w:b/>
                                  <w:bCs/>
                                  <w:szCs w:val="24"/>
                                </w:rPr>
                              </w:pPr>
                              <w:r w:rsidRPr="008D2475">
                                <w:rPr>
                                  <w:b/>
                                  <w:bCs/>
                                </w:rPr>
                                <w:t>S</w:t>
                              </w:r>
                              <w:r w:rsidR="009D665E">
                                <w:rPr>
                                  <w:b/>
                                  <w:bCs/>
                                </w:rPr>
                                <w:t>am Rosevear</w:t>
                              </w:r>
                            </w:p>
                            <w:p w14:paraId="246FED93" w14:textId="646155BB" w:rsidR="004F685B" w:rsidRDefault="009D665E" w:rsidP="008D2475">
                              <w:pPr>
                                <w:pStyle w:val="BackPageTextBoxTextWhite"/>
                              </w:pPr>
                              <w:r>
                                <w:t>Executive Director</w:t>
                              </w:r>
                            </w:p>
                            <w:p w14:paraId="255DAEA8" w14:textId="13AD05FD" w:rsidR="009D665E" w:rsidRDefault="009D665E" w:rsidP="008D2475">
                              <w:pPr>
                                <w:pStyle w:val="BackPageTextBoxTextWhite"/>
                              </w:pPr>
                              <w:r>
                                <w:t xml:space="preserve">Policy, Government </w:t>
                              </w:r>
                              <w:proofErr w:type="gramStart"/>
                              <w:r>
                                <w:t>Relations</w:t>
                              </w:r>
                              <w:proofErr w:type="gramEnd"/>
                              <w:r>
                                <w:t xml:space="preserve"> and Research</w:t>
                              </w:r>
                            </w:p>
                            <w:p w14:paraId="74F9ED0D" w14:textId="74D1EA8A" w:rsidR="004F685B" w:rsidRDefault="004F685B" w:rsidP="008D2475">
                              <w:pPr>
                                <w:pStyle w:val="BackPageTextBoxTextWhite"/>
                                <w:spacing w:before="200"/>
                              </w:pPr>
                              <w:r w:rsidRPr="007953C8">
                                <w:rPr>
                                  <w:b/>
                                  <w:bCs/>
                                </w:rPr>
                                <w:t>P</w:t>
                              </w:r>
                              <w:r>
                                <w:t xml:space="preserve"> </w:t>
                              </w:r>
                              <w:r>
                                <w:tab/>
                                <w:t>+</w:t>
                              </w:r>
                              <w:r w:rsidRPr="008D2475">
                                <w:rPr>
                                  <w:spacing w:val="-3"/>
                                </w:rPr>
                                <w:t>61</w:t>
                              </w:r>
                              <w:r w:rsidR="00FC5C7E">
                                <w:rPr>
                                  <w:spacing w:val="-3"/>
                                </w:rPr>
                                <w:t xml:space="preserve"> </w:t>
                              </w:r>
                              <w:r w:rsidRPr="008D2475">
                                <w:rPr>
                                  <w:spacing w:val="-3"/>
                                </w:rPr>
                                <w:t>(0)4</w:t>
                              </w:r>
                              <w:r w:rsidR="006A6CFE">
                                <w:rPr>
                                  <w:spacing w:val="-3"/>
                                </w:rPr>
                                <w:t>20 961 192</w:t>
                              </w:r>
                            </w:p>
                            <w:p w14:paraId="330804F5" w14:textId="1D86C571" w:rsidR="004F685B" w:rsidRDefault="004F685B" w:rsidP="008D2475">
                              <w:pPr>
                                <w:pStyle w:val="BackPageTextBoxTextWhite"/>
                              </w:pPr>
                              <w:r w:rsidRPr="007953C8">
                                <w:rPr>
                                  <w:b/>
                                  <w:bCs/>
                                </w:rPr>
                                <w:t>E</w:t>
                              </w:r>
                              <w:r>
                                <w:t xml:space="preserve"> </w:t>
                              </w:r>
                              <w:r>
                                <w:tab/>
                              </w:r>
                              <w:r w:rsidRPr="008D2475">
                                <w:rPr>
                                  <w:spacing w:val="-3"/>
                                </w:rPr>
                                <w:t>s</w:t>
                              </w:r>
                              <w:r w:rsidR="006A6CFE">
                                <w:rPr>
                                  <w:spacing w:val="-3"/>
                                </w:rPr>
                                <w:t>am</w:t>
                              </w:r>
                              <w:r w:rsidRPr="008D2475">
                                <w:rPr>
                                  <w:spacing w:val="-3"/>
                                </w:rPr>
                                <w:t>@philanthropy.org.au</w:t>
                              </w:r>
                            </w:p>
                            <w:p w14:paraId="55B300F2" w14:textId="148F654F" w:rsidR="004F685B" w:rsidRPr="007953C8" w:rsidRDefault="00C939B1" w:rsidP="008D2475">
                              <w:pPr>
                                <w:pStyle w:val="BackPageTextBoxTextWhite"/>
                                <w:spacing w:before="140"/>
                                <w:rPr>
                                  <w:b/>
                                  <w:bCs/>
                                </w:rPr>
                              </w:pPr>
                              <w:hyperlink r:id="rId24" w:history="1">
                                <w:r w:rsidR="004F685B" w:rsidRPr="007953C8">
                                  <w:rPr>
                                    <w:b/>
                                    <w:bCs/>
                                  </w:rPr>
                                  <w:t>philanthropy.org.au</w:t>
                                </w:r>
                              </w:hyperlink>
                            </w:p>
                          </w:txbxContent>
                        </wps:txbx>
                        <wps:bodyPr rot="0" spcFirstLastPara="0" vert="horz" wrap="square" lIns="36000" tIns="36000" rIns="36000" bIns="36000" numCol="1" spcCol="0" rtlCol="0" fromWordArt="0" anchor="t" anchorCtr="0" forceAA="0" compatLnSpc="1">
                          <a:prstTxWarp prst="textNoShape">
                            <a:avLst/>
                          </a:prstTxWarp>
                          <a:noAutofit/>
                        </wps:bodyPr>
                      </wps:wsp>
                      <pic:pic xmlns:pic="http://schemas.openxmlformats.org/drawingml/2006/picture">
                        <pic:nvPicPr>
                          <pic:cNvPr id="18" name="Philanthropy Australia"/>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4666275" y="7866675"/>
                            <a:ext cx="1944000" cy="417837"/>
                          </a:xfrm>
                          <a:prstGeom prst="rect">
                            <a:avLst/>
                          </a:prstGeom>
                        </pic:spPr>
                      </pic:pic>
                    </wpc:wpc>
                  </a:graphicData>
                </a:graphic>
                <wp14:sizeRelH relativeFrom="margin">
                  <wp14:pctWidth>0</wp14:pctWidth>
                </wp14:sizeRelH>
                <wp14:sizeRelV relativeFrom="margin">
                  <wp14:pctHeight>0</wp14:pctHeight>
                </wp14:sizeRelV>
              </wp:anchor>
            </w:drawing>
          </mc:Choice>
          <mc:Fallback>
            <w:pict>
              <v:group w14:anchorId="79FFA571" id="Canvas 19" o:spid="_x0000_s1028" editas="canvas" style="position:absolute;margin-left:0;margin-top:0;width:595.3pt;height:841.9pt;z-index:-251658240;mso-position-horizontal:left;mso-position-horizontal-relative:page;mso-position-vertical:top;mso-position-vertical-relative:page;mso-width-relative:margin;mso-height-relative:margin" coordsize="75596,10691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5596;height:106914;visibility:visible;mso-wrap-style:square">
                  <v:fill o:detectmouseclick="t"/>
                  <v:path o:connecttype="none"/>
                </v:shape>
                <v:shape id="Picture 16" o:spid="_x0000_s1030" type="#_x0000_t75" alt="Icon&#10;&#10;Description automatically generated" style="position:absolute;width:75596;height:10691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">
                  <v:imagedata r:id="rId25" o:title="Icon&#10;&#10;Description automatically generated"/>
                </v:shape>
                <v:shape id="Text Box 10" o:spid="_x0000_s1031" type="#_x0000_t202" style="position:absolute;left:46303;top:85344;width:26180;height:19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" filled="f" stroked="f" strokeweight=".5pt">
                  <v:textbox inset="1mm,1mm,1mm,1mm">
                    <w:txbxContent>
                      <w:p w14:paraId="1C1D2061" w14:textId="6571C5C2" w:rsidR="004F685B" w:rsidRPr="008D2475" w:rsidRDefault="004F685B" w:rsidP="008D2475">
                        <w:pPr>
                          <w:pStyle w:val="BackPageTextBoxTextWhite"/>
                          <w:rPr>
                            <w:b/>
                            <w:bCs/>
                            <w:szCs w:val="24"/>
                          </w:rPr>
                        </w:pPr>
                        <w:r w:rsidRPr="008D2475">
                          <w:rPr>
                            <w:b/>
                            <w:bCs/>
                          </w:rPr>
                          <w:t>S</w:t>
                        </w:r>
                        <w:r w:rsidR="009D665E">
                          <w:rPr>
                            <w:b/>
                            <w:bCs/>
                          </w:rPr>
                          <w:t>am Rosevear</w:t>
                        </w:r>
                      </w:p>
                      <w:p w14:paraId="246FED93" w14:textId="646155BB" w:rsidR="004F685B" w:rsidRDefault="009D665E" w:rsidP="008D2475">
                        <w:pPr>
                          <w:pStyle w:val="BackPageTextBoxTextWhite"/>
                        </w:pPr>
                        <w:r>
                          <w:t>Executive Director</w:t>
                        </w:r>
                      </w:p>
                      <w:p w14:paraId="255DAEA8" w14:textId="13AD05FD" w:rsidR="009D665E" w:rsidRDefault="009D665E" w:rsidP="008D2475">
                        <w:pPr>
                          <w:pStyle w:val="BackPageTextBoxTextWhite"/>
                        </w:pPr>
                        <w:r>
                          <w:t xml:space="preserve">Policy, Government </w:t>
                        </w:r>
                        <w:proofErr w:type="gramStart"/>
                        <w:r>
                          <w:t>Relations</w:t>
                        </w:r>
                        <w:proofErr w:type="gramEnd"/>
                        <w:r>
                          <w:t xml:space="preserve"> and Research</w:t>
                        </w:r>
                      </w:p>
                      <w:p w14:paraId="74F9ED0D" w14:textId="74D1EA8A" w:rsidR="004F685B" w:rsidRDefault="004F685B" w:rsidP="008D2475">
                        <w:pPr>
                          <w:pStyle w:val="BackPageTextBoxTextWhite"/>
                          <w:spacing w:before="200"/>
                        </w:pPr>
                        <w:r w:rsidRPr="007953C8">
                          <w:rPr>
                            <w:b/>
                            <w:bCs/>
                          </w:rPr>
                          <w:t>P</w:t>
                        </w:r>
                        <w:r>
                          <w:t xml:space="preserve"> </w:t>
                        </w:r>
                        <w:r>
                          <w:tab/>
                          <w:t>+</w:t>
                        </w:r>
                        <w:r w:rsidRPr="008D2475">
                          <w:rPr>
                            <w:spacing w:val="-3"/>
                          </w:rPr>
                          <w:t>61</w:t>
                        </w:r>
                        <w:r w:rsidR="00FC5C7E">
                          <w:rPr>
                            <w:spacing w:val="-3"/>
                          </w:rPr>
                          <w:t xml:space="preserve"> </w:t>
                        </w:r>
                        <w:r w:rsidRPr="008D2475">
                          <w:rPr>
                            <w:spacing w:val="-3"/>
                          </w:rPr>
                          <w:t>(0)4</w:t>
                        </w:r>
                        <w:r w:rsidR="006A6CFE">
                          <w:rPr>
                            <w:spacing w:val="-3"/>
                          </w:rPr>
                          <w:t>20 961 192</w:t>
                        </w:r>
                      </w:p>
                      <w:p w14:paraId="330804F5" w14:textId="1D86C571" w:rsidR="004F685B" w:rsidRDefault="004F685B" w:rsidP="008D2475">
                        <w:pPr>
                          <w:pStyle w:val="BackPageTextBoxTextWhite"/>
                        </w:pPr>
                        <w:r w:rsidRPr="007953C8">
                          <w:rPr>
                            <w:b/>
                            <w:bCs/>
                          </w:rPr>
                          <w:t>E</w:t>
                        </w:r>
                        <w:r>
                          <w:t xml:space="preserve"> </w:t>
                        </w:r>
                        <w:r>
                          <w:tab/>
                        </w:r>
                        <w:r w:rsidRPr="008D2475">
                          <w:rPr>
                            <w:spacing w:val="-3"/>
                          </w:rPr>
                          <w:t>s</w:t>
                        </w:r>
                        <w:r w:rsidR="006A6CFE">
                          <w:rPr>
                            <w:spacing w:val="-3"/>
                          </w:rPr>
                          <w:t>am</w:t>
                        </w:r>
                        <w:r w:rsidRPr="008D2475">
                          <w:rPr>
                            <w:spacing w:val="-3"/>
                          </w:rPr>
                          <w:t>@philanthropy.org.au</w:t>
                        </w:r>
                      </w:p>
                      <w:p w14:paraId="55B300F2" w14:textId="148F654F" w:rsidR="004F685B" w:rsidRPr="007953C8" w:rsidRDefault="00C939B1" w:rsidP="008D2475">
                        <w:pPr>
                          <w:pStyle w:val="BackPageTextBoxTextWhite"/>
                          <w:spacing w:before="140"/>
                          <w:rPr>
                            <w:b/>
                            <w:bCs/>
                          </w:rPr>
                        </w:pPr>
                        <w:hyperlink r:id="rId26" w:history="1">
                          <w:r w:rsidR="004F685B" w:rsidRPr="007953C8">
                            <w:rPr>
                              <w:b/>
                              <w:bCs/>
                            </w:rPr>
                            <w:t>philanthropy.org.au</w:t>
                          </w:r>
                        </w:hyperlink>
                      </w:p>
                    </w:txbxContent>
                  </v:textbox>
                </v:shape>
                <v:shape id="Philanthropy Australia" o:spid="_x0000_s1032" type="#_x0000_t75" style="position:absolute;left:46662;top:78666;width:19440;height:4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">
                  <v:imagedata r:id="rId27" o:title=""/>
                </v:shape>
                <w10:wrap type="topAndBottom" anchorx="page" anchory="page"/>
              </v:group>
            </w:pict>
          </mc:Fallback>
        </mc:AlternateContent>
      </w:r>
    </w:p>
    <w:sectPr w:rsidR="004F685B" w:rsidRPr="008E5399" w:rsidSect="00CB352A">
      <w:headerReference w:type="even" r:id="rId28"/>
      <w:headerReference w:type="default" r:id="rId29"/>
      <w:footerReference w:type="even" r:id="rId30"/>
      <w:headerReference w:type="first" r:id="rId31"/>
      <w:footerReference w:type="first" r:id="rId32"/>
      <w:pgSz w:w="11907" w:h="16839" w:code="9"/>
      <w:pgMar w:top="1134" w:right="1134" w:bottom="1134" w:left="1134" w:header="397" w:footer="397" w:gutter="0"/>
      <w:pgNumType w:start="1"/>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F1E5" w14:textId="77777777" w:rsidR="00C06401" w:rsidRDefault="00C939B1" w:rsidP="006D5A90">
      <w:r>
        <w:pict w14:anchorId="7C240829">
          <v:rect id="_x0000_i1025" style="width:0;height:1.5pt" o:hralign="center" o:hrstd="t" o:hr="t" fillcolor="#a0a0a0" stroked="f"/>
        </w:pict>
      </w:r>
    </w:p>
    <w:p w14:paraId="2A1AA29A" w14:textId="77777777" w:rsidR="00C06401" w:rsidRDefault="00C06401" w:rsidP="006D5A90"/>
  </w:endnote>
  <w:endnote w:type="continuationSeparator" w:id="0">
    <w:p w14:paraId="61FAA66C" w14:textId="77777777" w:rsidR="00C06401" w:rsidRDefault="00C939B1" w:rsidP="006D5A90">
      <w:r>
        <w:pict w14:anchorId="0D59FCD7">
          <v:rect id="_x0000_i1026" style="width:0;height:1.5pt" o:hralign="center" o:hrstd="t" o:hr="t" fillcolor="#a0a0a0" stroked="f"/>
        </w:pict>
      </w:r>
    </w:p>
    <w:p w14:paraId="67CF79C3" w14:textId="77777777" w:rsidR="00C06401" w:rsidRDefault="00C06401" w:rsidP="006D5A90"/>
  </w:endnote>
  <w:endnote w:type="continuationNotice" w:id="1">
    <w:p w14:paraId="326F752C" w14:textId="77777777" w:rsidR="00C06401" w:rsidRDefault="00C064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M Sans">
    <w:panose1 w:val="00000000000000000000"/>
    <w:charset w:val="00"/>
    <w:family w:val="auto"/>
    <w:pitch w:val="variable"/>
    <w:sig w:usb0="8000002F" w:usb1="5000205B" w:usb2="00000000" w:usb3="00000000" w:csb0="00000093"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M Sans Medium">
    <w:panose1 w:val="00000000000000000000"/>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7569" w14:textId="77777777" w:rsidR="002526A5" w:rsidRDefault="002526A5" w:rsidP="002526A5">
    <w:pPr>
      <w:pStyle w:val="FooterPageNumber"/>
      <w:framePr w:wrap="around"/>
    </w:pPr>
    <w:r>
      <w:rPr>
        <w:noProof w:val="0"/>
      </w:rPr>
      <w:fldChar w:fldCharType="begin"/>
    </w:r>
    <w:r>
      <w:instrText xml:space="preserve"> PAGE   \* MERGEFORMAT </w:instrText>
    </w:r>
    <w:r>
      <w:rPr>
        <w:noProof w:val="0"/>
      </w:rPr>
      <w:fldChar w:fldCharType="separate"/>
    </w:r>
    <w:r>
      <w:rPr>
        <w:noProof w:val="0"/>
      </w:rPr>
      <w:t>i</w:t>
    </w:r>
    <w:r>
      <w:fldChar w:fldCharType="end"/>
    </w:r>
  </w:p>
  <w:sdt>
    <w:sdtPr>
      <w:alias w:val="Title"/>
      <w:tag w:val=""/>
      <w:id w:val="367658503"/>
      <w:dataBinding w:prefixMappings="xmlns:ns0='http://purl.org/dc/elements/1.1/' xmlns:ns1='http://schemas.openxmlformats.org/package/2006/metadata/core-properties' " w:xpath="/ns1:coreProperties[1]/ns0:title[1]" w:storeItemID="{6C3C8BC8-F283-45AE-878A-BAB7291924A1}"/>
      <w:text/>
    </w:sdtPr>
    <w:sdtEndPr/>
    <w:sdtContent>
      <w:p w14:paraId="47D655AA" w14:textId="3E138DCD" w:rsidR="007953C8" w:rsidRPr="002526A5" w:rsidRDefault="00400714" w:rsidP="002526A5">
        <w:pPr>
          <w:pStyle w:val="Footer"/>
        </w:pPr>
        <w:r>
          <w:t xml:space="preserve">Philanthropy Australia </w:t>
        </w:r>
        <w:r w:rsidR="00A52717">
          <w:t>Submission to the Charity Blueprint process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B68E" w14:textId="77777777" w:rsidR="002526A5" w:rsidRDefault="002526A5" w:rsidP="002526A5">
    <w:pPr>
      <w:pStyle w:val="FooterPageNumber"/>
      <w:framePr w:wrap="around"/>
    </w:pPr>
    <w:r>
      <w:rPr>
        <w:noProof w:val="0"/>
      </w:rPr>
      <w:fldChar w:fldCharType="begin"/>
    </w:r>
    <w:r>
      <w:instrText xml:space="preserve"> PAGE   \* MERGEFORMAT </w:instrText>
    </w:r>
    <w:r>
      <w:rPr>
        <w:noProof w:val="0"/>
      </w:rPr>
      <w:fldChar w:fldCharType="separate"/>
    </w:r>
    <w:r>
      <w:rPr>
        <w:noProof w:val="0"/>
      </w:rPr>
      <w:t>i</w:t>
    </w:r>
    <w:r>
      <w:fldChar w:fldCharType="end"/>
    </w:r>
  </w:p>
  <w:sdt>
    <w:sdtPr>
      <w:alias w:val="Title"/>
      <w:tag w:val=""/>
      <w:id w:val="1891848344"/>
      <w:dataBinding w:prefixMappings="xmlns:ns0='http://purl.org/dc/elements/1.1/' xmlns:ns1='http://schemas.openxmlformats.org/package/2006/metadata/core-properties' " w:xpath="/ns1:coreProperties[1]/ns0:title[1]" w:storeItemID="{6C3C8BC8-F283-45AE-878A-BAB7291924A1}"/>
      <w:text/>
    </w:sdtPr>
    <w:sdtEndPr/>
    <w:sdtContent>
      <w:p w14:paraId="21864DC4" w14:textId="1EB1CAE2" w:rsidR="002526A5" w:rsidRPr="002526A5" w:rsidRDefault="00400714" w:rsidP="002526A5">
        <w:pPr>
          <w:pStyle w:val="Footer"/>
        </w:pPr>
        <w:r>
          <w:t>Philanthropy Australia Submission to the Charity Blueprint process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F2CE" w14:textId="77777777" w:rsidR="008213AA" w:rsidRDefault="008213AA" w:rsidP="006B04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C4E8" w14:textId="77777777" w:rsidR="008213AA" w:rsidRDefault="008213AA" w:rsidP="006B0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7ABB" w14:textId="77777777" w:rsidR="00C06401" w:rsidRPr="00CA30B7" w:rsidRDefault="00C06401" w:rsidP="006D5A90">
      <w:pPr>
        <w:rPr>
          <w:lang w:val="en-US"/>
        </w:rPr>
      </w:pPr>
      <w:r w:rsidRPr="00CA30B7">
        <w:rPr>
          <w:lang w:val="en-US"/>
        </w:rPr>
        <w:t>_______</w:t>
      </w:r>
    </w:p>
  </w:footnote>
  <w:footnote w:type="continuationSeparator" w:id="0">
    <w:p w14:paraId="46D6E70E" w14:textId="77777777" w:rsidR="00C06401" w:rsidRPr="00CA30B7" w:rsidRDefault="00C06401" w:rsidP="006D5A90">
      <w:pPr>
        <w:rPr>
          <w:lang w:val="en-US"/>
        </w:rPr>
      </w:pPr>
      <w:r w:rsidRPr="00CA30B7">
        <w:rPr>
          <w:lang w:val="en-US"/>
        </w:rPr>
        <w:t>_______</w:t>
      </w:r>
    </w:p>
  </w:footnote>
  <w:footnote w:type="continuationNotice" w:id="1">
    <w:p w14:paraId="45A2F7DC" w14:textId="77777777" w:rsidR="00C06401" w:rsidRDefault="00C06401" w:rsidP="006D5A90"/>
  </w:footnote>
  <w:footnote w:id="2">
    <w:p w14:paraId="6448466E" w14:textId="77777777" w:rsidR="00E66BAB" w:rsidRDefault="00E66BAB" w:rsidP="00E66BAB">
      <w:pPr>
        <w:pStyle w:val="FootnoteText"/>
      </w:pPr>
      <w:r w:rsidRPr="009A33DD">
        <w:rPr>
          <w:rStyle w:val="FootnoteReference"/>
        </w:rPr>
        <w:footnoteRef/>
      </w:r>
      <w:r w:rsidRPr="009A33DD">
        <w:rPr>
          <w:rStyle w:val="FootnoteReference"/>
        </w:rPr>
        <w:t xml:space="preserve"> </w:t>
      </w:r>
      <w:r>
        <w:rPr>
          <w:rStyle w:val="FootnoteReference"/>
        </w:rPr>
        <w:tab/>
      </w:r>
      <w:r w:rsidRPr="0006199E">
        <w:rPr>
          <w:rFonts w:cs="Calibri"/>
        </w:rPr>
        <w:t>Bakija and Heim</w:t>
      </w:r>
      <w:r>
        <w:rPr>
          <w:rFonts w:cs="Calibri"/>
        </w:rPr>
        <w:t>, ‘How does charitable giving respond to incentives and income? New estimates from panel data, in National Tax Journal, vol.64, issue 2, pp.615-650,</w:t>
      </w:r>
      <w:r w:rsidRPr="0006199E">
        <w:rPr>
          <w:rFonts w:cs="Calibri"/>
        </w:rPr>
        <w:t xml:space="preserve"> 2011., p.617.</w:t>
      </w:r>
    </w:p>
  </w:footnote>
  <w:footnote w:id="3">
    <w:p w14:paraId="43C2E332" w14:textId="77777777" w:rsidR="00E66BAB" w:rsidRPr="00F93369" w:rsidRDefault="00E66BAB" w:rsidP="00E66BAB">
      <w:pPr>
        <w:pStyle w:val="FootnoteText"/>
      </w:pPr>
      <w:r w:rsidRPr="009A33DD">
        <w:rPr>
          <w:rStyle w:val="FootnoteReference"/>
        </w:rPr>
        <w:footnoteRef/>
      </w:r>
      <w:r w:rsidRPr="009A33DD">
        <w:rPr>
          <w:rStyle w:val="FootnoteReference"/>
        </w:rPr>
        <w:t xml:space="preserve"> </w:t>
      </w:r>
      <w:r>
        <w:rPr>
          <w:rStyle w:val="FootnoteReference"/>
        </w:rPr>
        <w:tab/>
      </w:r>
      <w:r w:rsidRPr="00F93369">
        <w:t xml:space="preserve">Deloitte Access Economics, p.59. </w:t>
      </w:r>
    </w:p>
  </w:footnote>
  <w:footnote w:id="4">
    <w:p w14:paraId="222301CC" w14:textId="77777777" w:rsidR="00A60B1A" w:rsidRPr="000059AA" w:rsidRDefault="00A60B1A" w:rsidP="00A60B1A">
      <w:pPr>
        <w:pStyle w:val="FootnoteText"/>
        <w:rPr>
          <w:lang w:val="en-US"/>
        </w:rPr>
      </w:pPr>
      <w:r>
        <w:rPr>
          <w:rStyle w:val="FootnoteReference"/>
        </w:rPr>
        <w:footnoteRef/>
      </w:r>
      <w:r>
        <w:t xml:space="preserve"> </w:t>
      </w:r>
      <w:r>
        <w:tab/>
        <w:t xml:space="preserve">See: </w:t>
      </w:r>
      <w:hyperlink r:id="rId1" w:history="1">
        <w:r w:rsidRPr="006C3E2D">
          <w:rPr>
            <w:rStyle w:val="Hyperlink"/>
          </w:rPr>
          <w:t>https://www.gov.uk/government/publications/applying-behavioural-insights-to-charitable-giving</w:t>
        </w:r>
      </w:hyperlink>
    </w:p>
  </w:footnote>
  <w:footnote w:id="5">
    <w:p w14:paraId="3408A116" w14:textId="77777777" w:rsidR="00A60B1A" w:rsidRPr="0008551D" w:rsidRDefault="00A60B1A" w:rsidP="00A60B1A">
      <w:pPr>
        <w:pStyle w:val="FootnoteText"/>
        <w:rPr>
          <w:lang w:val="en-US"/>
        </w:rPr>
      </w:pPr>
      <w:r w:rsidRPr="009A33DD">
        <w:rPr>
          <w:rStyle w:val="FootnoteReference"/>
        </w:rPr>
        <w:footnoteRef/>
      </w:r>
      <w:r w:rsidRPr="009A33DD">
        <w:rPr>
          <w:rStyle w:val="FootnoteReference"/>
        </w:rPr>
        <w:t xml:space="preserve"> </w:t>
      </w:r>
      <w:r>
        <w:rPr>
          <w:rStyle w:val="FootnoteReference"/>
        </w:rPr>
        <w:tab/>
      </w:r>
      <w:r>
        <w:rPr>
          <w:lang w:val="en-US"/>
        </w:rPr>
        <w:t xml:space="preserve">See: </w:t>
      </w:r>
      <w:hyperlink r:id="rId2" w:history="1">
        <w:r w:rsidRPr="001814D6">
          <w:rPr>
            <w:rStyle w:val="Hyperlink"/>
            <w:lang w:val="en-US"/>
          </w:rPr>
          <w:t>https://www.hrblock.com.au/tax-academy/bigger-tax-refund</w:t>
        </w:r>
      </w:hyperlink>
    </w:p>
  </w:footnote>
  <w:footnote w:id="6">
    <w:p w14:paraId="5A4C4C7E" w14:textId="77777777" w:rsidR="006072E6" w:rsidRPr="00F51CB1" w:rsidRDefault="006072E6" w:rsidP="006072E6">
      <w:pPr>
        <w:pStyle w:val="FootnoteText"/>
        <w:spacing w:before="0" w:line="240" w:lineRule="auto"/>
        <w:rPr>
          <w:sz w:val="16"/>
          <w:szCs w:val="16"/>
        </w:rPr>
      </w:pPr>
      <w:r w:rsidRPr="00F51CB1">
        <w:rPr>
          <w:rStyle w:val="FootnoteReference"/>
          <w:sz w:val="16"/>
          <w:szCs w:val="16"/>
        </w:rPr>
        <w:footnoteRef/>
      </w:r>
      <w:r w:rsidRPr="00F51CB1">
        <w:rPr>
          <w:sz w:val="16"/>
          <w:szCs w:val="16"/>
        </w:rPr>
        <w:t xml:space="preserve"> Walker, H., </w:t>
      </w:r>
      <w:r w:rsidRPr="00F51CB1">
        <w:rPr>
          <w:i/>
          <w:iCs/>
          <w:sz w:val="16"/>
          <w:szCs w:val="16"/>
        </w:rPr>
        <w:t>et al.</w:t>
      </w:r>
      <w:r w:rsidRPr="00F51CB1">
        <w:rPr>
          <w:sz w:val="16"/>
          <w:szCs w:val="16"/>
        </w:rPr>
        <w:t xml:space="preserve"> ‘Forty years of Slip! Slop! Slap! A call to action on skin cancer prevention for Australia.’ Public Health Res Pract. 2022;32(1):e31452117. First published 22 November 2021. Accessed June 2023: </w:t>
      </w:r>
      <w:hyperlink r:id="rId3" w:anchor="refList6" w:history="1">
        <w:r w:rsidRPr="00F51CB1">
          <w:rPr>
            <w:rStyle w:val="Hyperlink"/>
            <w:sz w:val="16"/>
            <w:szCs w:val="16"/>
          </w:rPr>
          <w:t>https://www.phrp.com.au/issues/march-2022-volume-32-issue-1/skin-cancer-prevention-a-call-to-action/#refList6</w:t>
        </w:r>
      </w:hyperlink>
    </w:p>
    <w:p w14:paraId="3C1F6254" w14:textId="77777777" w:rsidR="006072E6" w:rsidRPr="00301260" w:rsidRDefault="006072E6" w:rsidP="006072E6">
      <w:pPr>
        <w:pStyle w:val="FootnoteText"/>
        <w:spacing w:before="0" w:line="240" w:lineRule="auto"/>
        <w:rPr>
          <w:sz w:val="18"/>
          <w:szCs w:val="18"/>
        </w:rPr>
      </w:pPr>
    </w:p>
  </w:footnote>
  <w:footnote w:id="7">
    <w:p w14:paraId="1B0C0137" w14:textId="77777777" w:rsidR="006072E6" w:rsidRPr="00035A22" w:rsidRDefault="006072E6" w:rsidP="006072E6">
      <w:pPr>
        <w:pStyle w:val="FootnoteText"/>
        <w:spacing w:before="0" w:line="240" w:lineRule="auto"/>
        <w:rPr>
          <w:sz w:val="18"/>
          <w:szCs w:val="18"/>
        </w:rPr>
      </w:pPr>
      <w:r w:rsidRPr="00035A22">
        <w:rPr>
          <w:rStyle w:val="FootnoteReference"/>
          <w:sz w:val="18"/>
          <w:szCs w:val="18"/>
        </w:rPr>
        <w:footnoteRef/>
      </w:r>
      <w:r w:rsidRPr="00035A22">
        <w:rPr>
          <w:sz w:val="18"/>
          <w:szCs w:val="18"/>
        </w:rPr>
        <w:t xml:space="preserve"> Australian Institute of Health and Welfare, 7 July 2022, ‘Health promotion and health protection.’ Accessed June 2023: </w:t>
      </w:r>
      <w:hyperlink r:id="rId4" w:history="1">
        <w:r w:rsidRPr="00035A22">
          <w:rPr>
            <w:rStyle w:val="Hyperlink"/>
            <w:sz w:val="18"/>
            <w:szCs w:val="18"/>
          </w:rPr>
          <w:t>https://www.aihw.gov.au/reports/australias-health/health-promotion</w:t>
        </w:r>
      </w:hyperlink>
    </w:p>
    <w:p w14:paraId="36976682" w14:textId="77777777" w:rsidR="006072E6" w:rsidRPr="00301260" w:rsidRDefault="006072E6" w:rsidP="006072E6">
      <w:pPr>
        <w:pStyle w:val="FootnoteText"/>
        <w:spacing w:before="0" w:line="240" w:lineRule="auto"/>
        <w:rPr>
          <w:sz w:val="18"/>
          <w:szCs w:val="18"/>
        </w:rPr>
      </w:pPr>
    </w:p>
  </w:footnote>
  <w:footnote w:id="8">
    <w:p w14:paraId="694466A9" w14:textId="77777777" w:rsidR="00EE6916" w:rsidRPr="00EE6916" w:rsidRDefault="006072E6" w:rsidP="006072E6">
      <w:pPr>
        <w:pStyle w:val="FootnoteText"/>
        <w:rPr>
          <w:i/>
          <w:iCs/>
        </w:rPr>
      </w:pPr>
      <w:r>
        <w:rPr>
          <w:rStyle w:val="FootnoteReference"/>
        </w:rPr>
        <w:footnoteRef/>
      </w:r>
      <w:r>
        <w:t xml:space="preserve"> </w:t>
      </w:r>
      <w:r w:rsidR="00EE6916" w:rsidRPr="00EE6916">
        <w:rPr>
          <w:i/>
          <w:iCs/>
        </w:rPr>
        <w:t>Andrew Leigh, Reconnecting Australia: Speech to the Connecting Up conference, 13 May 2022:</w:t>
      </w:r>
    </w:p>
    <w:p w14:paraId="00234EA5" w14:textId="77777777" w:rsidR="006072E6" w:rsidRPr="00EE6916" w:rsidRDefault="006072E6" w:rsidP="006072E6">
      <w:pPr>
        <w:pStyle w:val="FootnoteText"/>
        <w:rPr>
          <w:lang w:val="en-US"/>
        </w:rPr>
      </w:pPr>
    </w:p>
  </w:footnote>
  <w:footnote w:id="9">
    <w:p w14:paraId="658CBCF9" w14:textId="77777777" w:rsidR="006072E6" w:rsidRPr="0003186D" w:rsidRDefault="006072E6" w:rsidP="006072E6">
      <w:pPr>
        <w:pStyle w:val="FootnoteText"/>
        <w:rPr>
          <w:lang w:val="en-US"/>
        </w:rPr>
      </w:pPr>
      <w:r w:rsidRPr="009A33DD">
        <w:rPr>
          <w:rStyle w:val="FootnoteReference"/>
        </w:rPr>
        <w:footnoteRef/>
      </w:r>
      <w:r w:rsidRPr="009A33DD">
        <w:rPr>
          <w:rStyle w:val="FootnoteReference"/>
        </w:rPr>
        <w:t xml:space="preserve"> </w:t>
      </w:r>
      <w:r>
        <w:rPr>
          <w:lang w:val="en-US"/>
        </w:rPr>
        <w:t xml:space="preserve">Redbridge, </w:t>
      </w:r>
      <w:r w:rsidRPr="008939DB">
        <w:rPr>
          <w:i/>
          <w:iCs/>
        </w:rPr>
        <w:t>Philanthropy Australia Community Case</w:t>
      </w:r>
      <w:r>
        <w:rPr>
          <w:lang w:val="en-US"/>
        </w:rPr>
        <w:t xml:space="preserve">, December 2022 – available </w:t>
      </w:r>
      <w:hyperlink r:id="rId5" w:history="1">
        <w:r w:rsidRPr="004E6BC9">
          <w:rPr>
            <w:rStyle w:val="Hyperlink"/>
            <w:lang w:val="en-US"/>
          </w:rPr>
          <w:t>here</w:t>
        </w:r>
      </w:hyperlink>
      <w:r>
        <w:rPr>
          <w:lang w:val="en-US"/>
        </w:rPr>
        <w:t>.</w:t>
      </w:r>
    </w:p>
  </w:footnote>
  <w:footnote w:id="10">
    <w:p w14:paraId="24096AF1" w14:textId="753D96EC" w:rsidR="00A00BF7" w:rsidRPr="00D40F59" w:rsidRDefault="00A00BF7" w:rsidP="00A00BF7">
      <w:pPr>
        <w:pStyle w:val="FootnoteText"/>
        <w:rPr>
          <w:lang w:val="en-US"/>
        </w:rPr>
      </w:pPr>
      <w:r>
        <w:rPr>
          <w:rStyle w:val="FootnoteReference"/>
        </w:rPr>
        <w:footnoteRef/>
      </w:r>
      <w:r>
        <w:t xml:space="preserve"> An Office of NFP Engagement</w:t>
      </w:r>
      <w:r w:rsidR="00BA1889">
        <w:t xml:space="preserve"> was recommended by the PC In 2010 and</w:t>
      </w:r>
      <w:r w:rsidRPr="00D40F59">
        <w:t xml:space="preserve"> briefly established, but abolished by the Abbott Government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2D6E" w14:textId="77777777" w:rsidR="008213AA" w:rsidRDefault="008213AA" w:rsidP="006B0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25A7" w14:textId="77777777" w:rsidR="008213AA" w:rsidRDefault="008213AA" w:rsidP="006B04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E386" w14:textId="77777777" w:rsidR="008213AA" w:rsidRDefault="008213AA" w:rsidP="006B0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3EC1E75"/>
    <w:multiLevelType w:val="multilevel"/>
    <w:tmpl w:val="8CE81736"/>
    <w:styleLink w:val="Appendices"/>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8A0D7F"/>
    <w:multiLevelType w:val="hybridMultilevel"/>
    <w:tmpl w:val="B2BA01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8F5822"/>
    <w:multiLevelType w:val="hybridMultilevel"/>
    <w:tmpl w:val="B69C0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7069C6"/>
    <w:multiLevelType w:val="hybridMultilevel"/>
    <w:tmpl w:val="6FB4DD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11940BEE"/>
    <w:multiLevelType w:val="hybridMultilevel"/>
    <w:tmpl w:val="9AD42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0168E4"/>
    <w:multiLevelType w:val="multilevel"/>
    <w:tmpl w:val="539293A6"/>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0" w15:restartNumberingAfterBreak="0">
    <w:nsid w:val="16B55390"/>
    <w:multiLevelType w:val="multilevel"/>
    <w:tmpl w:val="7F06AA76"/>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1" w15:restartNumberingAfterBreak="0">
    <w:nsid w:val="17CC1933"/>
    <w:multiLevelType w:val="multilevel"/>
    <w:tmpl w:val="6F36F198"/>
    <w:lvl w:ilvl="0">
      <w:start w:val="1"/>
      <w:numFmt w:val="bullet"/>
      <w:lvlText w:val=""/>
      <w:lvlJc w:val="left"/>
      <w:pPr>
        <w:ind w:left="340" w:hanging="340"/>
      </w:pPr>
      <w:rPr>
        <w:rFonts w:ascii="Symbol" w:hAnsi="Symbol" w:hint="default"/>
      </w:rPr>
    </w:lvl>
    <w:lvl w:ilvl="1">
      <w:start w:val="1"/>
      <w:numFmt w:val="bullet"/>
      <w:lvlText w:val=""/>
      <w:lvlJc w:val="left"/>
      <w:pPr>
        <w:ind w:left="700" w:hanging="36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2" w15:restartNumberingAfterBreak="0">
    <w:nsid w:val="182909D1"/>
    <w:multiLevelType w:val="multilevel"/>
    <w:tmpl w:val="CDA4AB36"/>
    <w:lvl w:ilvl="0">
      <w:start w:val="1"/>
      <w:numFmt w:val="decimal"/>
      <w:lvlText w:val="%1."/>
      <w:lvlJc w:val="left"/>
      <w:pPr>
        <w:ind w:left="340" w:hanging="340"/>
      </w:pPr>
      <w:rPr>
        <w:rFonts w:asciiTheme="minorHAnsi" w:eastAsia="MS ??" w:hAnsiTheme="minorHAnsi" w:cs="Times New Roman"/>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3" w15:restartNumberingAfterBreak="0">
    <w:nsid w:val="196E39E3"/>
    <w:multiLevelType w:val="multilevel"/>
    <w:tmpl w:val="7F06AA76"/>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4" w15:restartNumberingAfterBreak="0">
    <w:nsid w:val="1A2C3AC6"/>
    <w:multiLevelType w:val="multilevel"/>
    <w:tmpl w:val="CD9ECA9A"/>
    <w:name w:val="List Alpha"/>
    <w:lvl w:ilvl="0">
      <w:start w:val="1"/>
      <w:numFmt w:val="lowerLetter"/>
      <w:lvlText w:val="%1."/>
      <w:lvlJc w:val="left"/>
      <w:rPr>
        <w:rFonts w:ascii="Times New Roman" w:hAnsi="Times New Roman" w:cs="Times New Roman" w:hint="default"/>
        <w:b w:val="0"/>
        <w:bCs w:val="0"/>
        <w:i w:val="0"/>
        <w:iCs w:val="0"/>
        <w:caps w:val="0"/>
        <w:smallCaps w:val="0"/>
        <w:strike w:val="0"/>
        <w:dstrike w:val="0"/>
        <w:noProof w:val="0"/>
        <w:snapToGrid w:val="0"/>
        <w:vanish w:val="0"/>
        <w:color w:val="0F204B"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0F204B" w:themeColor="text2"/>
        <w:position w:val="2"/>
        <w:sz w:val="20"/>
      </w:rPr>
    </w:lvl>
    <w:lvl w:ilvl="2">
      <w:start w:val="1"/>
      <w:numFmt w:val="bullet"/>
      <w:lvlText w:val="–"/>
      <w:lvlJc w:val="left"/>
      <w:pPr>
        <w:tabs>
          <w:tab w:val="num" w:pos="1361"/>
        </w:tabs>
        <w:ind w:left="1361" w:hanging="340"/>
      </w:pPr>
      <w:rPr>
        <w:rFonts w:ascii="Arial" w:hAnsi="Arial" w:hint="default"/>
        <w:color w:val="0F204B"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A416047"/>
    <w:multiLevelType w:val="hybridMultilevel"/>
    <w:tmpl w:val="901E5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CA47AEC"/>
    <w:multiLevelType w:val="multilevel"/>
    <w:tmpl w:val="539293A6"/>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7"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8" w15:restartNumberingAfterBreak="0">
    <w:nsid w:val="221D626A"/>
    <w:multiLevelType w:val="hybridMultilevel"/>
    <w:tmpl w:val="99DC1F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58A5DB9"/>
    <w:multiLevelType w:val="multilevel"/>
    <w:tmpl w:val="2C6E01D0"/>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0" w15:restartNumberingAfterBreak="0">
    <w:nsid w:val="26651757"/>
    <w:multiLevelType w:val="hybridMultilevel"/>
    <w:tmpl w:val="5B484DDE"/>
    <w:name w:val="lstNumbering2"/>
    <w:lvl w:ilvl="0" w:tplc="45CE61B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E0A6E0FE">
      <w:start w:val="1"/>
      <w:numFmt w:val="decimal"/>
      <w:pStyle w:val="PullOutBoxNumber"/>
      <w:lvlText w:val="%4."/>
      <w:lvlJc w:val="left"/>
      <w:pPr>
        <w:ind w:left="947"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360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2" w15:restartNumberingAfterBreak="0">
    <w:nsid w:val="27C72BE2"/>
    <w:multiLevelType w:val="hybridMultilevel"/>
    <w:tmpl w:val="7D2EC2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9A018EB"/>
    <w:multiLevelType w:val="multilevel"/>
    <w:tmpl w:val="1D8268EC"/>
    <w:lvl w:ilvl="0">
      <w:start w:val="1"/>
      <w:numFmt w:val="lowerLetter"/>
      <w:pStyle w:val="ListAlpha"/>
      <w:lvlText w:val="%1."/>
      <w:lvlJc w:val="left"/>
      <w:pPr>
        <w:ind w:left="340" w:hanging="340"/>
      </w:pPr>
    </w:lvl>
    <w:lvl w:ilvl="1">
      <w:start w:val="5"/>
      <w:numFmt w:val="bullet"/>
      <w:lvlText w:val="–"/>
      <w:lvlJc w:val="left"/>
      <w:pPr>
        <w:ind w:left="680" w:hanging="340"/>
      </w:pPr>
      <w:rPr>
        <w:rFonts w:ascii="Arial" w:hAnsi="Arial" w:hint="default"/>
        <w:b w:val="0"/>
        <w:i w:val="0"/>
        <w:color w:val="0F204B" w:themeColor="text2"/>
        <w:position w:val="2"/>
        <w:sz w:val="20"/>
      </w:rPr>
    </w:lvl>
    <w:lvl w:ilvl="2">
      <w:start w:val="1"/>
      <w:numFmt w:val="bullet"/>
      <w:lvlText w:val="–"/>
      <w:lvlJc w:val="left"/>
      <w:pPr>
        <w:ind w:left="1020" w:hanging="340"/>
      </w:pPr>
      <w:rPr>
        <w:rFonts w:ascii="Arial" w:hAnsi="Arial" w:hint="default"/>
        <w:color w:val="0F204B" w:themeColor="text2"/>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4" w15:restartNumberingAfterBreak="0">
    <w:nsid w:val="2C16154F"/>
    <w:multiLevelType w:val="multilevel"/>
    <w:tmpl w:val="539293A6"/>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5" w15:restartNumberingAfterBreak="0">
    <w:nsid w:val="2DEC6A6C"/>
    <w:multiLevelType w:val="multilevel"/>
    <w:tmpl w:val="2C6E01D0"/>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4EC7464"/>
    <w:multiLevelType w:val="hybridMultilevel"/>
    <w:tmpl w:val="F74E2A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60E70B9"/>
    <w:multiLevelType w:val="multilevel"/>
    <w:tmpl w:val="84E0271C"/>
    <w:lvl w:ilvl="0">
      <w:start w:val="1"/>
      <w:numFmt w:val="bullet"/>
      <w:lvlText w:val=""/>
      <w:lvlJc w:val="left"/>
      <w:pPr>
        <w:ind w:left="340" w:hanging="340"/>
      </w:pPr>
      <w:rPr>
        <w:rFonts w:ascii="Symbol" w:hAnsi="Symbol"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36855328"/>
    <w:multiLevelType w:val="multilevel"/>
    <w:tmpl w:val="AF26DFFE"/>
    <w:name w:val="Numbered Headings"/>
    <w:lvl w:ilvl="0">
      <w:start w:val="1"/>
      <w:numFmt w:val="decimal"/>
      <w:pStyle w:val="HeadingNumbered1"/>
      <w:lvlText w:val="%1."/>
      <w:lvlJc w:val="left"/>
      <w:pPr>
        <w:ind w:left="567" w:hanging="567"/>
      </w:pPr>
      <w:rPr>
        <w:rFonts w:hint="default"/>
      </w:rPr>
    </w:lvl>
    <w:lvl w:ilvl="1">
      <w:start w:val="1"/>
      <w:numFmt w:val="decimal"/>
      <w:pStyle w:val="HeadingNumbered2"/>
      <w:lvlText w:val="%1.%2"/>
      <w:lvlJc w:val="left"/>
      <w:pPr>
        <w:ind w:left="567" w:hanging="567"/>
      </w:pPr>
      <w:rPr>
        <w:rFonts w:hint="default"/>
      </w:rPr>
    </w:lvl>
    <w:lvl w:ilvl="2">
      <w:start w:val="1"/>
      <w:numFmt w:val="decimal"/>
      <w:pStyle w:val="HeadingNumbered3"/>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38CC371F"/>
    <w:multiLevelType w:val="multilevel"/>
    <w:tmpl w:val="6C7E8332"/>
    <w:lvl w:ilvl="0">
      <w:start w:val="1"/>
      <w:numFmt w:val="upperLetter"/>
      <w:pStyle w:val="AppendixHeading1"/>
      <w:lvlText w:val="Appendix %1"/>
      <w:lvlJc w:val="left"/>
      <w:pPr>
        <w:tabs>
          <w:tab w:val="num" w:pos="2155"/>
        </w:tabs>
        <w:ind w:left="2155" w:hanging="2155"/>
      </w:pPr>
      <w:rPr>
        <w:rFonts w:hint="default"/>
      </w:rPr>
    </w:lvl>
    <w:lvl w:ilvl="1">
      <w:start w:val="1"/>
      <w:numFmt w:val="none"/>
      <w:pStyle w:val="AppendixHeading2"/>
      <w:suff w:val="nothing"/>
      <w:lvlText w:val=""/>
      <w:lvlJc w:val="left"/>
      <w:pPr>
        <w:ind w:left="794" w:hanging="794"/>
      </w:pPr>
      <w:rPr>
        <w:rFonts w:hint="default"/>
      </w:rPr>
    </w:lvl>
    <w:lvl w:ilvl="2">
      <w:start w:val="1"/>
      <w:numFmt w:val="none"/>
      <w:pStyle w:val="AppendixHeading3"/>
      <w:suff w:val="nothing"/>
      <w:lvlText w:val=""/>
      <w:lvlJc w:val="left"/>
      <w:pPr>
        <w:ind w:left="794" w:hanging="794"/>
      </w:pPr>
      <w:rPr>
        <w:rFonts w:hint="default"/>
      </w:rPr>
    </w:lvl>
    <w:lvl w:ilvl="3">
      <w:start w:val="1"/>
      <w:numFmt w:val="decimal"/>
      <w:lvlText w:val="%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33" w15:restartNumberingAfterBreak="0">
    <w:nsid w:val="395D52A8"/>
    <w:multiLevelType w:val="multilevel"/>
    <w:tmpl w:val="8CE81736"/>
    <w:name w:val="ListNumbering22"/>
    <w:numStyleLink w:val="Appendices"/>
  </w:abstractNum>
  <w:abstractNum w:abstractNumId="3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0F204B"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0F204B"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6" w15:restartNumberingAfterBreak="0">
    <w:nsid w:val="3A1E609C"/>
    <w:multiLevelType w:val="hybridMultilevel"/>
    <w:tmpl w:val="334C68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F782A86"/>
    <w:multiLevelType w:val="hybridMultilevel"/>
    <w:tmpl w:val="3684B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0036C32"/>
    <w:multiLevelType w:val="hybridMultilevel"/>
    <w:tmpl w:val="37FC2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13F3C88"/>
    <w:multiLevelType w:val="multilevel"/>
    <w:tmpl w:val="408C9932"/>
    <w:name w:val="lstNumbering22"/>
    <w:lvl w:ilvl="0">
      <w:start w:val="1"/>
      <w:numFmt w:val="decimal"/>
      <w:pStyle w:val="ListNumberinTable"/>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0F204B"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42" w15:restartNumberingAfterBreak="0">
    <w:nsid w:val="43E208BE"/>
    <w:multiLevelType w:val="hybridMultilevel"/>
    <w:tmpl w:val="26D29E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5E4753D"/>
    <w:multiLevelType w:val="multilevel"/>
    <w:tmpl w:val="AD32C268"/>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44" w15:restartNumberingAfterBreak="0">
    <w:nsid w:val="47606DA1"/>
    <w:multiLevelType w:val="multilevel"/>
    <w:tmpl w:val="7F06AA76"/>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5" w15:restartNumberingAfterBreak="0">
    <w:nsid w:val="49DD5865"/>
    <w:multiLevelType w:val="multilevel"/>
    <w:tmpl w:val="6F36F198"/>
    <w:lvl w:ilvl="0">
      <w:start w:val="1"/>
      <w:numFmt w:val="bullet"/>
      <w:lvlText w:val=""/>
      <w:lvlJc w:val="left"/>
      <w:pPr>
        <w:ind w:left="340" w:hanging="340"/>
      </w:pPr>
      <w:rPr>
        <w:rFonts w:ascii="Symbol" w:hAnsi="Symbol" w:hint="default"/>
      </w:rPr>
    </w:lvl>
    <w:lvl w:ilvl="1">
      <w:start w:val="1"/>
      <w:numFmt w:val="bullet"/>
      <w:lvlText w:val=""/>
      <w:lvlJc w:val="left"/>
      <w:pPr>
        <w:ind w:left="700" w:hanging="36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6" w15:restartNumberingAfterBreak="0">
    <w:nsid w:val="4AA27F2E"/>
    <w:multiLevelType w:val="multilevel"/>
    <w:tmpl w:val="7854ADB8"/>
    <w:name w:val="Bullets"/>
    <w:lvl w:ilvl="0">
      <w:start w:val="1"/>
      <w:numFmt w:val="bullet"/>
      <w:pStyle w:val="ListBullet"/>
      <w:lvlText w:val=""/>
      <w:lvlJc w:val="left"/>
      <w:pPr>
        <w:ind w:left="-680" w:hanging="340"/>
      </w:pPr>
      <w:rPr>
        <w:rFonts w:ascii="Symbol" w:hAnsi="Symbol" w:hint="default"/>
        <w:color w:val="000000" w:themeColor="text1"/>
      </w:rPr>
    </w:lvl>
    <w:lvl w:ilvl="1">
      <w:start w:val="1"/>
      <w:numFmt w:val="bullet"/>
      <w:pStyle w:val="ListBullet2"/>
      <w:lvlText w:val="—"/>
      <w:lvlJc w:val="left"/>
      <w:pPr>
        <w:ind w:left="-340" w:hanging="340"/>
      </w:pPr>
      <w:rPr>
        <w:rFonts w:ascii="Trebuchet MS" w:hAnsi="Trebuchet MS" w:hint="default"/>
      </w:rPr>
    </w:lvl>
    <w:lvl w:ilvl="2">
      <w:start w:val="1"/>
      <w:numFmt w:val="bullet"/>
      <w:pStyle w:val="ListBullet3"/>
      <w:lvlText w:val="›"/>
      <w:lvlJc w:val="left"/>
      <w:pPr>
        <w:ind w:left="0" w:hanging="340"/>
      </w:pPr>
      <w:rPr>
        <w:rFonts w:ascii="Arial" w:hAnsi="Arial" w:hint="default"/>
      </w:rPr>
    </w:lvl>
    <w:lvl w:ilvl="3">
      <w:start w:val="1"/>
      <w:numFmt w:val="bullet"/>
      <w:lvlText w:val=""/>
      <w:lvlJc w:val="left"/>
      <w:pPr>
        <w:tabs>
          <w:tab w:val="num" w:pos="170"/>
        </w:tabs>
        <w:ind w:left="340" w:hanging="340"/>
      </w:pPr>
      <w:rPr>
        <w:rFonts w:ascii="Symbol" w:hAnsi="Symbol" w:hint="default"/>
      </w:rPr>
    </w:lvl>
    <w:lvl w:ilvl="4">
      <w:start w:val="1"/>
      <w:numFmt w:val="bullet"/>
      <w:lvlText w:val="o"/>
      <w:lvlJc w:val="left"/>
      <w:pPr>
        <w:tabs>
          <w:tab w:val="num" w:pos="510"/>
        </w:tabs>
        <w:ind w:left="680" w:hanging="340"/>
      </w:pPr>
      <w:rPr>
        <w:rFonts w:ascii="Courier New" w:hAnsi="Courier New" w:cs="Courier New" w:hint="default"/>
      </w:rPr>
    </w:lvl>
    <w:lvl w:ilvl="5">
      <w:start w:val="1"/>
      <w:numFmt w:val="bullet"/>
      <w:lvlText w:val=""/>
      <w:lvlJc w:val="left"/>
      <w:pPr>
        <w:tabs>
          <w:tab w:val="num" w:pos="850"/>
        </w:tabs>
        <w:ind w:left="1020" w:hanging="340"/>
      </w:pPr>
      <w:rPr>
        <w:rFonts w:ascii="Wingdings" w:hAnsi="Wingdings" w:hint="default"/>
      </w:rPr>
    </w:lvl>
    <w:lvl w:ilvl="6">
      <w:start w:val="1"/>
      <w:numFmt w:val="bullet"/>
      <w:lvlText w:val=""/>
      <w:lvlJc w:val="left"/>
      <w:pPr>
        <w:tabs>
          <w:tab w:val="num" w:pos="1190"/>
        </w:tabs>
        <w:ind w:left="1360" w:hanging="340"/>
      </w:pPr>
      <w:rPr>
        <w:rFonts w:ascii="Symbol" w:hAnsi="Symbol" w:hint="default"/>
      </w:rPr>
    </w:lvl>
    <w:lvl w:ilvl="7">
      <w:start w:val="1"/>
      <w:numFmt w:val="bullet"/>
      <w:lvlText w:val="o"/>
      <w:lvlJc w:val="left"/>
      <w:pPr>
        <w:tabs>
          <w:tab w:val="num" w:pos="1530"/>
        </w:tabs>
        <w:ind w:left="1700" w:hanging="340"/>
      </w:pPr>
      <w:rPr>
        <w:rFonts w:ascii="Courier New" w:hAnsi="Courier New" w:cs="Courier New" w:hint="default"/>
      </w:rPr>
    </w:lvl>
    <w:lvl w:ilvl="8">
      <w:start w:val="1"/>
      <w:numFmt w:val="bullet"/>
      <w:lvlText w:val=""/>
      <w:lvlJc w:val="left"/>
      <w:pPr>
        <w:tabs>
          <w:tab w:val="num" w:pos="1870"/>
        </w:tabs>
        <w:ind w:left="2040" w:hanging="340"/>
      </w:pPr>
      <w:rPr>
        <w:rFonts w:ascii="Wingdings" w:hAnsi="Wingdings" w:hint="default"/>
      </w:rPr>
    </w:lvl>
  </w:abstractNum>
  <w:abstractNum w:abstractNumId="47" w15:restartNumberingAfterBreak="0">
    <w:nsid w:val="4B262CA0"/>
    <w:multiLevelType w:val="hybridMultilevel"/>
    <w:tmpl w:val="590E0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E777CDC"/>
    <w:multiLevelType w:val="multilevel"/>
    <w:tmpl w:val="6F36F198"/>
    <w:lvl w:ilvl="0">
      <w:start w:val="1"/>
      <w:numFmt w:val="bullet"/>
      <w:lvlText w:val=""/>
      <w:lvlJc w:val="left"/>
      <w:pPr>
        <w:ind w:left="340" w:hanging="340"/>
      </w:pPr>
      <w:rPr>
        <w:rFonts w:ascii="Symbol" w:hAnsi="Symbol" w:hint="default"/>
      </w:rPr>
    </w:lvl>
    <w:lvl w:ilvl="1">
      <w:start w:val="1"/>
      <w:numFmt w:val="bullet"/>
      <w:lvlText w:val=""/>
      <w:lvlJc w:val="left"/>
      <w:pPr>
        <w:ind w:left="700" w:hanging="36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9" w15:restartNumberingAfterBreak="0">
    <w:nsid w:val="4EF01645"/>
    <w:multiLevelType w:val="multilevel"/>
    <w:tmpl w:val="A0D2470C"/>
    <w:lvl w:ilvl="0">
      <w:start w:val="1"/>
      <w:numFmt w:val="decimal"/>
      <w:lvlText w:val="%1."/>
      <w:lvlJc w:val="left"/>
      <w:pPr>
        <w:ind w:left="340" w:hanging="340"/>
      </w:pPr>
      <w:rPr>
        <w:rFonts w:hint="default"/>
        <w:b/>
        <w:bCs w:val="0"/>
        <w:i w:val="0"/>
      </w:rPr>
    </w:lvl>
    <w:lvl w:ilvl="1">
      <w:start w:val="1"/>
      <w:numFmt w:val="lowerLetter"/>
      <w:lvlText w:val="%2."/>
      <w:lvlJc w:val="left"/>
      <w:pPr>
        <w:ind w:left="680" w:hanging="340"/>
      </w:pPr>
      <w:rPr>
        <w:rFonts w:hint="default"/>
      </w:rPr>
    </w:lvl>
    <w:lvl w:ilvl="2">
      <w:start w:val="1"/>
      <w:numFmt w:val="lowerRoman"/>
      <w:lvlText w:val="%3."/>
      <w:lvlJc w:val="left"/>
      <w:pPr>
        <w:tabs>
          <w:tab w:val="num" w:pos="1021"/>
        </w:tabs>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0"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51"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56DF745D"/>
    <w:multiLevelType w:val="hybridMultilevel"/>
    <w:tmpl w:val="B8840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7231450"/>
    <w:multiLevelType w:val="multilevel"/>
    <w:tmpl w:val="8A58E58E"/>
    <w:lvl w:ilvl="0">
      <w:start w:val="1"/>
      <w:numFmt w:val="bullet"/>
      <w:pStyle w:val="HighlightBoxBullet"/>
      <w:lvlText w:val=""/>
      <w:lvlJc w:val="left"/>
      <w:pPr>
        <w:ind w:left="510" w:hanging="283"/>
      </w:pPr>
      <w:rPr>
        <w:rFonts w:ascii="Symbol" w:hAnsi="Symbol" w:hint="default"/>
        <w:color w:val="000000" w:themeColor="text1"/>
      </w:rPr>
    </w:lvl>
    <w:lvl w:ilvl="1">
      <w:start w:val="1"/>
      <w:numFmt w:val="bullet"/>
      <w:lvlText w:val="o"/>
      <w:lvlJc w:val="left"/>
      <w:pPr>
        <w:ind w:left="1667" w:hanging="360"/>
      </w:pPr>
      <w:rPr>
        <w:rFonts w:ascii="Courier New" w:hAnsi="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5"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6" w15:restartNumberingAfterBreak="0">
    <w:nsid w:val="5A54140F"/>
    <w:multiLevelType w:val="hybridMultilevel"/>
    <w:tmpl w:val="6C44D6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0F204B" w:themeColor="text2"/>
      </w:rPr>
    </w:lvl>
    <w:lvl w:ilvl="1">
      <w:start w:val="1"/>
      <w:numFmt w:val="bullet"/>
      <w:lvlText w:val="–"/>
      <w:lvlJc w:val="left"/>
      <w:pPr>
        <w:ind w:left="539" w:hanging="227"/>
      </w:pPr>
      <w:rPr>
        <w:rFonts w:ascii="Arial" w:hAnsi="Arial" w:hint="default"/>
        <w:color w:val="0F204B"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60" w15:restartNumberingAfterBreak="0">
    <w:nsid w:val="64AE296C"/>
    <w:multiLevelType w:val="multilevel"/>
    <w:tmpl w:val="7F06AA76"/>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6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0F204B" w:themeColor="text2"/>
        <w:sz w:val="32"/>
      </w:rPr>
    </w:lvl>
    <w:lvl w:ilvl="1">
      <w:start w:val="1"/>
      <w:numFmt w:val="decimal"/>
      <w:lvlText w:val="%2."/>
      <w:lvlJc w:val="left"/>
      <w:pPr>
        <w:tabs>
          <w:tab w:val="num" w:pos="992"/>
        </w:tabs>
        <w:ind w:left="992" w:hanging="992"/>
      </w:pPr>
      <w:rPr>
        <w:rFonts w:hint="default"/>
        <w:b w:val="0"/>
        <w:i w:val="0"/>
        <w:color w:val="0F204B" w:themeColor="text2"/>
        <w:sz w:val="24"/>
      </w:rPr>
    </w:lvl>
    <w:lvl w:ilvl="2">
      <w:start w:val="1"/>
      <w:numFmt w:val="decimal"/>
      <w:lvlText w:val="%2.%3"/>
      <w:lvlJc w:val="left"/>
      <w:pPr>
        <w:tabs>
          <w:tab w:val="num" w:pos="992"/>
        </w:tabs>
        <w:ind w:left="992" w:hanging="992"/>
      </w:pPr>
      <w:rPr>
        <w:rFonts w:hint="default"/>
        <w:b/>
        <w:i w:val="0"/>
        <w:color w:val="000000" w:themeColor="text1"/>
        <w:sz w:val="24"/>
      </w:rPr>
    </w:lvl>
    <w:lvl w:ilvl="3">
      <w:start w:val="1"/>
      <w:numFmt w:val="decimal"/>
      <w:lvlText w:val="%2.%3.%4"/>
      <w:lvlJc w:val="left"/>
      <w:pPr>
        <w:tabs>
          <w:tab w:val="num" w:pos="992"/>
        </w:tabs>
        <w:ind w:left="992" w:hanging="992"/>
      </w:pPr>
      <w:rPr>
        <w:rFonts w:hint="default"/>
        <w:b w:val="0"/>
        <w:i w:val="0"/>
        <w:color w:val="000000" w:themeColor="text1"/>
        <w:sz w:val="24"/>
      </w:rPr>
    </w:lvl>
    <w:lvl w:ilvl="4">
      <w:start w:val="1"/>
      <w:numFmt w:val="decimal"/>
      <w:lvlText w:val="%2.%3.%4.%5"/>
      <w:lvlJc w:val="left"/>
      <w:pPr>
        <w:tabs>
          <w:tab w:val="num" w:pos="992"/>
        </w:tabs>
        <w:ind w:left="992" w:hanging="992"/>
      </w:pPr>
      <w:rPr>
        <w:rFonts w:hint="default"/>
        <w:color w:val="000000"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2" w15:restartNumberingAfterBreak="0">
    <w:nsid w:val="687650FD"/>
    <w:multiLevelType w:val="hybridMultilevel"/>
    <w:tmpl w:val="31C0180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69A405CF"/>
    <w:multiLevelType w:val="hybridMultilevel"/>
    <w:tmpl w:val="EA183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BB66B4"/>
    <w:multiLevelType w:val="multilevel"/>
    <w:tmpl w:val="09846D00"/>
    <w:lvl w:ilvl="0">
      <w:start w:val="1"/>
      <w:numFmt w:val="decimal"/>
      <w:lvlText w:val="%1."/>
      <w:lvlJc w:val="left"/>
      <w:pPr>
        <w:ind w:left="340" w:hanging="340"/>
      </w:pPr>
      <w:rPr>
        <w:rFonts w:hint="default"/>
      </w:rPr>
    </w:lvl>
    <w:lvl w:ilvl="1">
      <w:start w:val="1"/>
      <w:numFmt w:val="decimal"/>
      <w:lvlText w:val="%2."/>
      <w:lvlJc w:val="left"/>
      <w:pPr>
        <w:ind w:left="700" w:hanging="360"/>
      </w:pPr>
      <w:rPr>
        <w:rFonts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65" w15:restartNumberingAfterBreak="0">
    <w:nsid w:val="6A4C4216"/>
    <w:multiLevelType w:val="hybridMultilevel"/>
    <w:tmpl w:val="2182F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B3D56E7"/>
    <w:multiLevelType w:val="hybridMultilevel"/>
    <w:tmpl w:val="081EE3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6C036B39"/>
    <w:multiLevelType w:val="multilevel"/>
    <w:tmpl w:val="56E87B82"/>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0F36DC4"/>
    <w:multiLevelType w:val="hybridMultilevel"/>
    <w:tmpl w:val="6AC46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1232745"/>
    <w:multiLevelType w:val="multilevel"/>
    <w:tmpl w:val="DD1E4742"/>
    <w:lvl w:ilvl="0">
      <w:start w:val="1"/>
      <w:numFmt w:val="decimal"/>
      <w:lvlText w:val="%1."/>
      <w:lvlJc w:val="left"/>
      <w:pPr>
        <w:ind w:left="340" w:hanging="340"/>
      </w:pPr>
      <w:rPr>
        <w:rFonts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7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000000"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71" w15:restartNumberingAfterBreak="0">
    <w:nsid w:val="75B62B5E"/>
    <w:multiLevelType w:val="multilevel"/>
    <w:tmpl w:val="F2E8571A"/>
    <w:name w:val="List Alpha2"/>
    <w:lvl w:ilvl="0">
      <w:start w:val="1"/>
      <w:numFmt w:val="lowerLetter"/>
      <w:lvlText w:val="%1."/>
      <w:lvlJc w:val="left"/>
      <w:rPr>
        <w:rFonts w:ascii="Times New Roman" w:hAnsi="Times New Roman" w:cs="Times New Roman" w:hint="default"/>
        <w:b w:val="0"/>
        <w:bCs w:val="0"/>
        <w:i w:val="0"/>
        <w:iCs w:val="0"/>
        <w:caps w:val="0"/>
        <w:smallCaps w:val="0"/>
        <w:strike w:val="0"/>
        <w:dstrike w:val="0"/>
        <w:snapToGrid w:val="0"/>
        <w:vanish w:val="0"/>
        <w:color w:val="0F204B" w:themeColor="text2"/>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0F204B" w:themeColor="text2"/>
        <w:position w:val="2"/>
        <w:sz w:val="20"/>
      </w:rPr>
    </w:lvl>
    <w:lvl w:ilvl="2">
      <w:start w:val="1"/>
      <w:numFmt w:val="bullet"/>
      <w:lvlText w:val="–"/>
      <w:lvlJc w:val="left"/>
      <w:pPr>
        <w:tabs>
          <w:tab w:val="num" w:pos="1361"/>
        </w:tabs>
        <w:ind w:left="1361" w:hanging="340"/>
      </w:pPr>
      <w:rPr>
        <w:rFonts w:ascii="Arial" w:hAnsi="Arial" w:hint="default"/>
        <w:color w:val="0F204B"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2" w15:restartNumberingAfterBreak="0">
    <w:nsid w:val="777755D7"/>
    <w:multiLevelType w:val="multilevel"/>
    <w:tmpl w:val="7F06AA76"/>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73" w15:restartNumberingAfterBreak="0">
    <w:nsid w:val="779B4AB2"/>
    <w:multiLevelType w:val="multilevel"/>
    <w:tmpl w:val="DD1E4742"/>
    <w:lvl w:ilvl="0">
      <w:start w:val="1"/>
      <w:numFmt w:val="decimal"/>
      <w:lvlText w:val="%1."/>
      <w:lvlJc w:val="left"/>
      <w:pPr>
        <w:ind w:left="340" w:hanging="340"/>
      </w:pPr>
      <w:rPr>
        <w:rFonts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74" w15:restartNumberingAfterBreak="0">
    <w:nsid w:val="77CB0367"/>
    <w:multiLevelType w:val="hybridMultilevel"/>
    <w:tmpl w:val="85FC8C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CBF748D"/>
    <w:multiLevelType w:val="hybridMultilevel"/>
    <w:tmpl w:val="4072C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0F204B"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77" w15:restartNumberingAfterBreak="0">
    <w:nsid w:val="7FEF3C60"/>
    <w:multiLevelType w:val="multilevel"/>
    <w:tmpl w:val="7250CDAA"/>
    <w:lvl w:ilvl="0">
      <w:start w:val="1"/>
      <w:numFmt w:val="decimal"/>
      <w:pStyle w:val="ListNumber"/>
      <w:lvlText w:val="%1."/>
      <w:lvlJc w:val="left"/>
      <w:pPr>
        <w:ind w:left="340" w:hanging="340"/>
      </w:pPr>
      <w:rPr>
        <w:rFonts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DM Sans" w:hAnsi="DM Sans" w:hint="default"/>
      </w:rPr>
    </w:lvl>
    <w:lvl w:ilvl="3">
      <w:start w:val="1"/>
      <w:numFmt w:val="bullet"/>
      <w:lvlText w:val="—"/>
      <w:lvlJc w:val="left"/>
      <w:pPr>
        <w:ind w:left="1360" w:hanging="340"/>
      </w:pPr>
      <w:rPr>
        <w:rFonts w:ascii="DM Sans" w:hAnsi="DM San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num w:numId="1" w16cid:durableId="1281954857">
    <w:abstractNumId w:val="3"/>
  </w:num>
  <w:num w:numId="2" w16cid:durableId="795681245">
    <w:abstractNumId w:val="21"/>
  </w:num>
  <w:num w:numId="3" w16cid:durableId="1448159471">
    <w:abstractNumId w:val="58"/>
  </w:num>
  <w:num w:numId="4" w16cid:durableId="1838228193">
    <w:abstractNumId w:val="17"/>
  </w:num>
  <w:num w:numId="5" w16cid:durableId="2036349118">
    <w:abstractNumId w:val="23"/>
  </w:num>
  <w:num w:numId="6" w16cid:durableId="557979318">
    <w:abstractNumId w:val="41"/>
  </w:num>
  <w:num w:numId="7" w16cid:durableId="1904564296">
    <w:abstractNumId w:val="1"/>
  </w:num>
  <w:num w:numId="8" w16cid:durableId="1024943547">
    <w:abstractNumId w:val="46"/>
  </w:num>
  <w:num w:numId="9" w16cid:durableId="1418792933">
    <w:abstractNumId w:val="32"/>
  </w:num>
  <w:num w:numId="10" w16cid:durableId="891304328">
    <w:abstractNumId w:val="30"/>
  </w:num>
  <w:num w:numId="11" w16cid:durableId="1124428316">
    <w:abstractNumId w:val="53"/>
  </w:num>
  <w:num w:numId="12" w16cid:durableId="1672175769">
    <w:abstractNumId w:val="43"/>
  </w:num>
  <w:num w:numId="13" w16cid:durableId="719401332">
    <w:abstractNumId w:val="67"/>
  </w:num>
  <w:num w:numId="14" w16cid:durableId="1727218155">
    <w:abstractNumId w:val="49"/>
  </w:num>
  <w:num w:numId="15" w16cid:durableId="491718900">
    <w:abstractNumId w:val="20"/>
  </w:num>
  <w:num w:numId="16" w16cid:durableId="627515755">
    <w:abstractNumId w:val="73"/>
  </w:num>
  <w:num w:numId="17" w16cid:durableId="395322790">
    <w:abstractNumId w:val="73"/>
  </w:num>
  <w:num w:numId="18" w16cid:durableId="189327470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25459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0146761">
    <w:abstractNumId w:val="39"/>
  </w:num>
  <w:num w:numId="21" w16cid:durableId="207180725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0226875">
    <w:abstractNumId w:val="4"/>
  </w:num>
  <w:num w:numId="23" w16cid:durableId="725687971">
    <w:abstractNumId w:val="66"/>
  </w:num>
  <w:num w:numId="24" w16cid:durableId="1149325091">
    <w:abstractNumId w:val="22"/>
  </w:num>
  <w:num w:numId="25" w16cid:durableId="908224598">
    <w:abstractNumId w:val="6"/>
  </w:num>
  <w:num w:numId="26" w16cid:durableId="1035540837">
    <w:abstractNumId w:val="62"/>
  </w:num>
  <w:num w:numId="27" w16cid:durableId="1523010351">
    <w:abstractNumId w:val="77"/>
  </w:num>
  <w:num w:numId="28" w16cid:durableId="18840497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4160644">
    <w:abstractNumId w:val="12"/>
  </w:num>
  <w:num w:numId="30" w16cid:durableId="911352471">
    <w:abstractNumId w:val="25"/>
  </w:num>
  <w:num w:numId="31" w16cid:durableId="2096247438">
    <w:abstractNumId w:val="19"/>
  </w:num>
  <w:num w:numId="32" w16cid:durableId="1208763728">
    <w:abstractNumId w:val="56"/>
  </w:num>
  <w:num w:numId="33" w16cid:durableId="936328540">
    <w:abstractNumId w:val="18"/>
  </w:num>
  <w:num w:numId="34" w16cid:durableId="1425953975">
    <w:abstractNumId w:val="42"/>
  </w:num>
  <w:num w:numId="35" w16cid:durableId="283461967">
    <w:abstractNumId w:val="8"/>
  </w:num>
  <w:num w:numId="36" w16cid:durableId="1730106085">
    <w:abstractNumId w:val="52"/>
  </w:num>
  <w:num w:numId="37" w16cid:durableId="1126310835">
    <w:abstractNumId w:val="47"/>
  </w:num>
  <w:num w:numId="38" w16cid:durableId="902641969">
    <w:abstractNumId w:val="36"/>
  </w:num>
  <w:num w:numId="39" w16cid:durableId="184680506">
    <w:abstractNumId w:val="68"/>
  </w:num>
  <w:num w:numId="40" w16cid:durableId="79524193">
    <w:abstractNumId w:val="65"/>
  </w:num>
  <w:num w:numId="41" w16cid:durableId="794497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74107581">
    <w:abstractNumId w:val="64"/>
  </w:num>
  <w:num w:numId="43" w16cid:durableId="1950430139">
    <w:abstractNumId w:val="45"/>
  </w:num>
  <w:num w:numId="44" w16cid:durableId="208243670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73029272">
    <w:abstractNumId w:val="11"/>
  </w:num>
  <w:num w:numId="46" w16cid:durableId="1912156224">
    <w:abstractNumId w:val="48"/>
  </w:num>
  <w:num w:numId="47" w16cid:durableId="950428783">
    <w:abstractNumId w:val="9"/>
  </w:num>
  <w:num w:numId="48" w16cid:durableId="137261521">
    <w:abstractNumId w:val="37"/>
  </w:num>
  <w:num w:numId="49" w16cid:durableId="837576524">
    <w:abstractNumId w:val="24"/>
  </w:num>
  <w:num w:numId="50" w16cid:durableId="896162983">
    <w:abstractNumId w:val="69"/>
  </w:num>
  <w:num w:numId="51" w16cid:durableId="241375170">
    <w:abstractNumId w:val="16"/>
  </w:num>
  <w:num w:numId="52" w16cid:durableId="563413616">
    <w:abstractNumId w:val="29"/>
  </w:num>
  <w:num w:numId="53" w16cid:durableId="1327368243">
    <w:abstractNumId w:val="28"/>
  </w:num>
  <w:num w:numId="54" w16cid:durableId="651520724">
    <w:abstractNumId w:val="5"/>
  </w:num>
  <w:num w:numId="55" w16cid:durableId="1364133423">
    <w:abstractNumId w:val="74"/>
  </w:num>
  <w:num w:numId="56" w16cid:durableId="1553884985">
    <w:abstractNumId w:val="72"/>
  </w:num>
  <w:num w:numId="57" w16cid:durableId="584219474">
    <w:abstractNumId w:val="44"/>
  </w:num>
  <w:num w:numId="58" w16cid:durableId="1761372397">
    <w:abstractNumId w:val="10"/>
  </w:num>
  <w:num w:numId="59" w16cid:durableId="1071583531">
    <w:abstractNumId w:val="38"/>
  </w:num>
  <w:num w:numId="60" w16cid:durableId="2080471739">
    <w:abstractNumId w:val="13"/>
  </w:num>
  <w:num w:numId="61" w16cid:durableId="1393430757">
    <w:abstractNumId w:val="60"/>
  </w:num>
  <w:num w:numId="62" w16cid:durableId="1276598858">
    <w:abstractNumId w:val="15"/>
  </w:num>
  <w:num w:numId="63" w16cid:durableId="1639147192">
    <w:abstractNumId w:val="63"/>
  </w:num>
  <w:num w:numId="64" w16cid:durableId="137964519">
    <w:abstractNumId w:val="7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89506E"/>
    <w:rsid w:val="00000194"/>
    <w:rsid w:val="0000124E"/>
    <w:rsid w:val="00001D81"/>
    <w:rsid w:val="00002691"/>
    <w:rsid w:val="00002AFD"/>
    <w:rsid w:val="00003260"/>
    <w:rsid w:val="000035F6"/>
    <w:rsid w:val="00004327"/>
    <w:rsid w:val="00004810"/>
    <w:rsid w:val="00004A68"/>
    <w:rsid w:val="00004EEE"/>
    <w:rsid w:val="000059AA"/>
    <w:rsid w:val="000068CA"/>
    <w:rsid w:val="00006ED8"/>
    <w:rsid w:val="0000736B"/>
    <w:rsid w:val="00007D49"/>
    <w:rsid w:val="00010366"/>
    <w:rsid w:val="000105A9"/>
    <w:rsid w:val="00010976"/>
    <w:rsid w:val="000112BF"/>
    <w:rsid w:val="00011600"/>
    <w:rsid w:val="00011C29"/>
    <w:rsid w:val="00011F46"/>
    <w:rsid w:val="0001216C"/>
    <w:rsid w:val="000125A5"/>
    <w:rsid w:val="000126E3"/>
    <w:rsid w:val="0001294B"/>
    <w:rsid w:val="00012D6E"/>
    <w:rsid w:val="000139F9"/>
    <w:rsid w:val="00013C91"/>
    <w:rsid w:val="00014AD2"/>
    <w:rsid w:val="00014E97"/>
    <w:rsid w:val="000152AC"/>
    <w:rsid w:val="00015B82"/>
    <w:rsid w:val="000160DB"/>
    <w:rsid w:val="00016339"/>
    <w:rsid w:val="0001645A"/>
    <w:rsid w:val="00016927"/>
    <w:rsid w:val="00016F11"/>
    <w:rsid w:val="0001710E"/>
    <w:rsid w:val="00017A37"/>
    <w:rsid w:val="00017E78"/>
    <w:rsid w:val="00020166"/>
    <w:rsid w:val="00020425"/>
    <w:rsid w:val="0002048A"/>
    <w:rsid w:val="0002090C"/>
    <w:rsid w:val="00022FC9"/>
    <w:rsid w:val="0002313E"/>
    <w:rsid w:val="00023619"/>
    <w:rsid w:val="00024DE5"/>
    <w:rsid w:val="00024F9A"/>
    <w:rsid w:val="00025270"/>
    <w:rsid w:val="000265EA"/>
    <w:rsid w:val="00026DA1"/>
    <w:rsid w:val="00026DC2"/>
    <w:rsid w:val="00026F6C"/>
    <w:rsid w:val="000272BB"/>
    <w:rsid w:val="000273C5"/>
    <w:rsid w:val="00030A38"/>
    <w:rsid w:val="0003160B"/>
    <w:rsid w:val="000332EC"/>
    <w:rsid w:val="000337A3"/>
    <w:rsid w:val="000343D3"/>
    <w:rsid w:val="000346D1"/>
    <w:rsid w:val="00034E7A"/>
    <w:rsid w:val="0003565D"/>
    <w:rsid w:val="000361C1"/>
    <w:rsid w:val="00036D45"/>
    <w:rsid w:val="000374E9"/>
    <w:rsid w:val="00037A2A"/>
    <w:rsid w:val="000403C3"/>
    <w:rsid w:val="000408B7"/>
    <w:rsid w:val="00040EB4"/>
    <w:rsid w:val="000411A2"/>
    <w:rsid w:val="000411F8"/>
    <w:rsid w:val="00041613"/>
    <w:rsid w:val="00042903"/>
    <w:rsid w:val="00042F13"/>
    <w:rsid w:val="00043A1F"/>
    <w:rsid w:val="00043FEB"/>
    <w:rsid w:val="0004428F"/>
    <w:rsid w:val="00044607"/>
    <w:rsid w:val="00044863"/>
    <w:rsid w:val="0004603D"/>
    <w:rsid w:val="0004675A"/>
    <w:rsid w:val="00050713"/>
    <w:rsid w:val="00051BFC"/>
    <w:rsid w:val="00051D5C"/>
    <w:rsid w:val="00052454"/>
    <w:rsid w:val="0005252A"/>
    <w:rsid w:val="00052D3E"/>
    <w:rsid w:val="00053C58"/>
    <w:rsid w:val="000542DE"/>
    <w:rsid w:val="0005578D"/>
    <w:rsid w:val="00056024"/>
    <w:rsid w:val="00057460"/>
    <w:rsid w:val="000574CC"/>
    <w:rsid w:val="00060B9F"/>
    <w:rsid w:val="000610EE"/>
    <w:rsid w:val="00061BA7"/>
    <w:rsid w:val="000634B5"/>
    <w:rsid w:val="00063857"/>
    <w:rsid w:val="0006424E"/>
    <w:rsid w:val="00066A4B"/>
    <w:rsid w:val="00067A55"/>
    <w:rsid w:val="00070860"/>
    <w:rsid w:val="0007095A"/>
    <w:rsid w:val="0007166A"/>
    <w:rsid w:val="0007247D"/>
    <w:rsid w:val="00072A63"/>
    <w:rsid w:val="000739C2"/>
    <w:rsid w:val="00074EF6"/>
    <w:rsid w:val="00075B1E"/>
    <w:rsid w:val="000764DD"/>
    <w:rsid w:val="00076CEC"/>
    <w:rsid w:val="000770EF"/>
    <w:rsid w:val="00080082"/>
    <w:rsid w:val="000809F5"/>
    <w:rsid w:val="00080B70"/>
    <w:rsid w:val="0008149D"/>
    <w:rsid w:val="000818E8"/>
    <w:rsid w:val="00081ACB"/>
    <w:rsid w:val="00082701"/>
    <w:rsid w:val="00082CAC"/>
    <w:rsid w:val="00082EEC"/>
    <w:rsid w:val="00084998"/>
    <w:rsid w:val="00084E16"/>
    <w:rsid w:val="00086400"/>
    <w:rsid w:val="0008678B"/>
    <w:rsid w:val="00086C5B"/>
    <w:rsid w:val="00087CE5"/>
    <w:rsid w:val="00090C31"/>
    <w:rsid w:val="00090CB5"/>
    <w:rsid w:val="00090D68"/>
    <w:rsid w:val="0009129D"/>
    <w:rsid w:val="000913B9"/>
    <w:rsid w:val="00091C6D"/>
    <w:rsid w:val="00091E67"/>
    <w:rsid w:val="00093AB0"/>
    <w:rsid w:val="00093DB2"/>
    <w:rsid w:val="000944E5"/>
    <w:rsid w:val="00094C04"/>
    <w:rsid w:val="0009636C"/>
    <w:rsid w:val="00096805"/>
    <w:rsid w:val="00097178"/>
    <w:rsid w:val="000971A5"/>
    <w:rsid w:val="000A0157"/>
    <w:rsid w:val="000A043A"/>
    <w:rsid w:val="000A0772"/>
    <w:rsid w:val="000A07D4"/>
    <w:rsid w:val="000A0D39"/>
    <w:rsid w:val="000A0ECF"/>
    <w:rsid w:val="000A1236"/>
    <w:rsid w:val="000A1641"/>
    <w:rsid w:val="000A1A10"/>
    <w:rsid w:val="000A25A3"/>
    <w:rsid w:val="000A2A5F"/>
    <w:rsid w:val="000A3203"/>
    <w:rsid w:val="000A3E5B"/>
    <w:rsid w:val="000A43C4"/>
    <w:rsid w:val="000A4DD8"/>
    <w:rsid w:val="000A513C"/>
    <w:rsid w:val="000A5285"/>
    <w:rsid w:val="000A55E9"/>
    <w:rsid w:val="000A6056"/>
    <w:rsid w:val="000A64D2"/>
    <w:rsid w:val="000A659B"/>
    <w:rsid w:val="000A65C4"/>
    <w:rsid w:val="000B02C8"/>
    <w:rsid w:val="000B0482"/>
    <w:rsid w:val="000B07C0"/>
    <w:rsid w:val="000B1783"/>
    <w:rsid w:val="000B1AD8"/>
    <w:rsid w:val="000B2D2E"/>
    <w:rsid w:val="000B51BB"/>
    <w:rsid w:val="000B5361"/>
    <w:rsid w:val="000B59CB"/>
    <w:rsid w:val="000B5AC1"/>
    <w:rsid w:val="000B5B6D"/>
    <w:rsid w:val="000B6301"/>
    <w:rsid w:val="000B65EE"/>
    <w:rsid w:val="000B6910"/>
    <w:rsid w:val="000B6BD1"/>
    <w:rsid w:val="000B7219"/>
    <w:rsid w:val="000C036C"/>
    <w:rsid w:val="000C043D"/>
    <w:rsid w:val="000C1205"/>
    <w:rsid w:val="000C1732"/>
    <w:rsid w:val="000C1A1D"/>
    <w:rsid w:val="000C269E"/>
    <w:rsid w:val="000C3390"/>
    <w:rsid w:val="000C3827"/>
    <w:rsid w:val="000C4032"/>
    <w:rsid w:val="000C440C"/>
    <w:rsid w:val="000C4AFB"/>
    <w:rsid w:val="000C4DC5"/>
    <w:rsid w:val="000C620E"/>
    <w:rsid w:val="000C6AC6"/>
    <w:rsid w:val="000C72B0"/>
    <w:rsid w:val="000C7516"/>
    <w:rsid w:val="000C782D"/>
    <w:rsid w:val="000C7BB4"/>
    <w:rsid w:val="000D01DB"/>
    <w:rsid w:val="000D0471"/>
    <w:rsid w:val="000D04B1"/>
    <w:rsid w:val="000D0FA2"/>
    <w:rsid w:val="000D1AEE"/>
    <w:rsid w:val="000D1DA0"/>
    <w:rsid w:val="000D2B3D"/>
    <w:rsid w:val="000D319F"/>
    <w:rsid w:val="000D36F9"/>
    <w:rsid w:val="000D3881"/>
    <w:rsid w:val="000D3CAE"/>
    <w:rsid w:val="000D5967"/>
    <w:rsid w:val="000D5CE1"/>
    <w:rsid w:val="000D5E13"/>
    <w:rsid w:val="000D5F8E"/>
    <w:rsid w:val="000D6482"/>
    <w:rsid w:val="000D66AF"/>
    <w:rsid w:val="000D73BF"/>
    <w:rsid w:val="000D73C9"/>
    <w:rsid w:val="000D7F5B"/>
    <w:rsid w:val="000E0068"/>
    <w:rsid w:val="000E0D24"/>
    <w:rsid w:val="000E14CA"/>
    <w:rsid w:val="000E1777"/>
    <w:rsid w:val="000E1FAD"/>
    <w:rsid w:val="000E2A63"/>
    <w:rsid w:val="000E2BFA"/>
    <w:rsid w:val="000E2E35"/>
    <w:rsid w:val="000E2F22"/>
    <w:rsid w:val="000E35EE"/>
    <w:rsid w:val="000E38AA"/>
    <w:rsid w:val="000E4946"/>
    <w:rsid w:val="000E5431"/>
    <w:rsid w:val="000E5848"/>
    <w:rsid w:val="000E584F"/>
    <w:rsid w:val="000E6D73"/>
    <w:rsid w:val="000E7420"/>
    <w:rsid w:val="000E79F7"/>
    <w:rsid w:val="000E7B6C"/>
    <w:rsid w:val="000E7E4A"/>
    <w:rsid w:val="000E7F29"/>
    <w:rsid w:val="000F007C"/>
    <w:rsid w:val="000F0977"/>
    <w:rsid w:val="000F0AB0"/>
    <w:rsid w:val="000F1017"/>
    <w:rsid w:val="000F1E52"/>
    <w:rsid w:val="000F26D5"/>
    <w:rsid w:val="000F2BEC"/>
    <w:rsid w:val="000F3362"/>
    <w:rsid w:val="000F35CA"/>
    <w:rsid w:val="000F39C2"/>
    <w:rsid w:val="000F436A"/>
    <w:rsid w:val="000F47F5"/>
    <w:rsid w:val="000F4D26"/>
    <w:rsid w:val="000F59FB"/>
    <w:rsid w:val="000F5E55"/>
    <w:rsid w:val="000F5FFD"/>
    <w:rsid w:val="000F6093"/>
    <w:rsid w:val="000F661E"/>
    <w:rsid w:val="000F72AB"/>
    <w:rsid w:val="000F7466"/>
    <w:rsid w:val="000F7AA2"/>
    <w:rsid w:val="000F7BB5"/>
    <w:rsid w:val="000F7BD3"/>
    <w:rsid w:val="000F7C2D"/>
    <w:rsid w:val="0010018C"/>
    <w:rsid w:val="00101215"/>
    <w:rsid w:val="001016DB"/>
    <w:rsid w:val="00101A91"/>
    <w:rsid w:val="001023F4"/>
    <w:rsid w:val="00102D94"/>
    <w:rsid w:val="001042E1"/>
    <w:rsid w:val="0010455D"/>
    <w:rsid w:val="00104C22"/>
    <w:rsid w:val="00105F81"/>
    <w:rsid w:val="00105FBE"/>
    <w:rsid w:val="0010709C"/>
    <w:rsid w:val="00107C8F"/>
    <w:rsid w:val="0011038E"/>
    <w:rsid w:val="00110760"/>
    <w:rsid w:val="0011087C"/>
    <w:rsid w:val="0011132C"/>
    <w:rsid w:val="001129F9"/>
    <w:rsid w:val="00112C85"/>
    <w:rsid w:val="00112EDB"/>
    <w:rsid w:val="0011371C"/>
    <w:rsid w:val="00113895"/>
    <w:rsid w:val="00113A48"/>
    <w:rsid w:val="00113EE7"/>
    <w:rsid w:val="0011429D"/>
    <w:rsid w:val="00114377"/>
    <w:rsid w:val="0011501B"/>
    <w:rsid w:val="001153CE"/>
    <w:rsid w:val="001156B1"/>
    <w:rsid w:val="00116264"/>
    <w:rsid w:val="00116413"/>
    <w:rsid w:val="001169AD"/>
    <w:rsid w:val="001176AC"/>
    <w:rsid w:val="00120092"/>
    <w:rsid w:val="0012041B"/>
    <w:rsid w:val="00120808"/>
    <w:rsid w:val="00120D59"/>
    <w:rsid w:val="00122028"/>
    <w:rsid w:val="001228AC"/>
    <w:rsid w:val="001230A0"/>
    <w:rsid w:val="001239D0"/>
    <w:rsid w:val="001242E9"/>
    <w:rsid w:val="001244D8"/>
    <w:rsid w:val="00124E5E"/>
    <w:rsid w:val="001252B3"/>
    <w:rsid w:val="0012652C"/>
    <w:rsid w:val="001267C9"/>
    <w:rsid w:val="001268C6"/>
    <w:rsid w:val="00126943"/>
    <w:rsid w:val="00126FF1"/>
    <w:rsid w:val="001302AB"/>
    <w:rsid w:val="0013044E"/>
    <w:rsid w:val="00130735"/>
    <w:rsid w:val="00130B14"/>
    <w:rsid w:val="00131CE8"/>
    <w:rsid w:val="001320DB"/>
    <w:rsid w:val="00132534"/>
    <w:rsid w:val="00132ECF"/>
    <w:rsid w:val="0013331C"/>
    <w:rsid w:val="00133CEB"/>
    <w:rsid w:val="001354EE"/>
    <w:rsid w:val="00135A21"/>
    <w:rsid w:val="00136085"/>
    <w:rsid w:val="0013609B"/>
    <w:rsid w:val="001369F7"/>
    <w:rsid w:val="001378AA"/>
    <w:rsid w:val="00137A24"/>
    <w:rsid w:val="00137B59"/>
    <w:rsid w:val="001406CA"/>
    <w:rsid w:val="001417FF"/>
    <w:rsid w:val="00141FDF"/>
    <w:rsid w:val="00142974"/>
    <w:rsid w:val="00143717"/>
    <w:rsid w:val="00144787"/>
    <w:rsid w:val="00145F74"/>
    <w:rsid w:val="00146441"/>
    <w:rsid w:val="00146947"/>
    <w:rsid w:val="00147141"/>
    <w:rsid w:val="0014722D"/>
    <w:rsid w:val="00150746"/>
    <w:rsid w:val="00151331"/>
    <w:rsid w:val="001526D2"/>
    <w:rsid w:val="001536B2"/>
    <w:rsid w:val="0015405B"/>
    <w:rsid w:val="00155192"/>
    <w:rsid w:val="0015554D"/>
    <w:rsid w:val="00155B41"/>
    <w:rsid w:val="00155B79"/>
    <w:rsid w:val="00156406"/>
    <w:rsid w:val="0015669A"/>
    <w:rsid w:val="00156BC1"/>
    <w:rsid w:val="001571C1"/>
    <w:rsid w:val="00157F04"/>
    <w:rsid w:val="00160C09"/>
    <w:rsid w:val="00160EA5"/>
    <w:rsid w:val="00161183"/>
    <w:rsid w:val="00161DFE"/>
    <w:rsid w:val="00162508"/>
    <w:rsid w:val="0016271B"/>
    <w:rsid w:val="00162EBC"/>
    <w:rsid w:val="0016336A"/>
    <w:rsid w:val="00163A5B"/>
    <w:rsid w:val="00163A88"/>
    <w:rsid w:val="00164012"/>
    <w:rsid w:val="00164716"/>
    <w:rsid w:val="001649FF"/>
    <w:rsid w:val="00165CE1"/>
    <w:rsid w:val="00166097"/>
    <w:rsid w:val="00166E6D"/>
    <w:rsid w:val="00167022"/>
    <w:rsid w:val="0016718E"/>
    <w:rsid w:val="00170701"/>
    <w:rsid w:val="00170BDB"/>
    <w:rsid w:val="001726D4"/>
    <w:rsid w:val="001728B5"/>
    <w:rsid w:val="00174052"/>
    <w:rsid w:val="001745CE"/>
    <w:rsid w:val="001750A0"/>
    <w:rsid w:val="001757E8"/>
    <w:rsid w:val="00175DCC"/>
    <w:rsid w:val="001766AD"/>
    <w:rsid w:val="001766D2"/>
    <w:rsid w:val="001768FA"/>
    <w:rsid w:val="0017749D"/>
    <w:rsid w:val="001778A7"/>
    <w:rsid w:val="001778D8"/>
    <w:rsid w:val="001779A6"/>
    <w:rsid w:val="001806B5"/>
    <w:rsid w:val="00180CE7"/>
    <w:rsid w:val="00180E8D"/>
    <w:rsid w:val="001813B0"/>
    <w:rsid w:val="001818D8"/>
    <w:rsid w:val="0018239D"/>
    <w:rsid w:val="001827CC"/>
    <w:rsid w:val="00183096"/>
    <w:rsid w:val="0018426D"/>
    <w:rsid w:val="00184490"/>
    <w:rsid w:val="001844C6"/>
    <w:rsid w:val="001845EF"/>
    <w:rsid w:val="00184B03"/>
    <w:rsid w:val="0018572A"/>
    <w:rsid w:val="00185BF1"/>
    <w:rsid w:val="00186186"/>
    <w:rsid w:val="0018625D"/>
    <w:rsid w:val="00186A77"/>
    <w:rsid w:val="001874D7"/>
    <w:rsid w:val="001878CE"/>
    <w:rsid w:val="00187B9E"/>
    <w:rsid w:val="00187BD4"/>
    <w:rsid w:val="001910A2"/>
    <w:rsid w:val="00191188"/>
    <w:rsid w:val="001911BB"/>
    <w:rsid w:val="00191308"/>
    <w:rsid w:val="00192F5C"/>
    <w:rsid w:val="00194013"/>
    <w:rsid w:val="001942E7"/>
    <w:rsid w:val="001945C8"/>
    <w:rsid w:val="00194AAE"/>
    <w:rsid w:val="00194B60"/>
    <w:rsid w:val="00195D19"/>
    <w:rsid w:val="00196E13"/>
    <w:rsid w:val="0019756C"/>
    <w:rsid w:val="001977C3"/>
    <w:rsid w:val="00197D54"/>
    <w:rsid w:val="001A0FC3"/>
    <w:rsid w:val="001A19F0"/>
    <w:rsid w:val="001A1BD0"/>
    <w:rsid w:val="001A2362"/>
    <w:rsid w:val="001A26B9"/>
    <w:rsid w:val="001A3022"/>
    <w:rsid w:val="001A3352"/>
    <w:rsid w:val="001A3695"/>
    <w:rsid w:val="001A59BB"/>
    <w:rsid w:val="001A63B0"/>
    <w:rsid w:val="001A6980"/>
    <w:rsid w:val="001A6B09"/>
    <w:rsid w:val="001B017B"/>
    <w:rsid w:val="001B08FF"/>
    <w:rsid w:val="001B1091"/>
    <w:rsid w:val="001B1992"/>
    <w:rsid w:val="001B19FF"/>
    <w:rsid w:val="001B1B2B"/>
    <w:rsid w:val="001B1CD9"/>
    <w:rsid w:val="001B204A"/>
    <w:rsid w:val="001B2623"/>
    <w:rsid w:val="001B2AD7"/>
    <w:rsid w:val="001B2D49"/>
    <w:rsid w:val="001B32D1"/>
    <w:rsid w:val="001B330C"/>
    <w:rsid w:val="001B355E"/>
    <w:rsid w:val="001B387D"/>
    <w:rsid w:val="001B3A77"/>
    <w:rsid w:val="001B51F8"/>
    <w:rsid w:val="001B5B2A"/>
    <w:rsid w:val="001B6D41"/>
    <w:rsid w:val="001B6E7E"/>
    <w:rsid w:val="001B706E"/>
    <w:rsid w:val="001B7E65"/>
    <w:rsid w:val="001C03A8"/>
    <w:rsid w:val="001C145F"/>
    <w:rsid w:val="001C158E"/>
    <w:rsid w:val="001C2103"/>
    <w:rsid w:val="001C2489"/>
    <w:rsid w:val="001C2510"/>
    <w:rsid w:val="001C2788"/>
    <w:rsid w:val="001C31C0"/>
    <w:rsid w:val="001C40E3"/>
    <w:rsid w:val="001C4622"/>
    <w:rsid w:val="001C4657"/>
    <w:rsid w:val="001C5E6E"/>
    <w:rsid w:val="001C71FB"/>
    <w:rsid w:val="001C72A9"/>
    <w:rsid w:val="001C7D7A"/>
    <w:rsid w:val="001D0265"/>
    <w:rsid w:val="001D1091"/>
    <w:rsid w:val="001D11E7"/>
    <w:rsid w:val="001D1BA5"/>
    <w:rsid w:val="001D223D"/>
    <w:rsid w:val="001D2D53"/>
    <w:rsid w:val="001D333C"/>
    <w:rsid w:val="001D39F8"/>
    <w:rsid w:val="001D3B02"/>
    <w:rsid w:val="001D469B"/>
    <w:rsid w:val="001D5342"/>
    <w:rsid w:val="001D5699"/>
    <w:rsid w:val="001D5D1A"/>
    <w:rsid w:val="001D5FC7"/>
    <w:rsid w:val="001D6139"/>
    <w:rsid w:val="001D63D0"/>
    <w:rsid w:val="001D6714"/>
    <w:rsid w:val="001D78C3"/>
    <w:rsid w:val="001E03DA"/>
    <w:rsid w:val="001E04BC"/>
    <w:rsid w:val="001E1DB7"/>
    <w:rsid w:val="001E1E00"/>
    <w:rsid w:val="001E2412"/>
    <w:rsid w:val="001E28B4"/>
    <w:rsid w:val="001E2ACF"/>
    <w:rsid w:val="001E31C0"/>
    <w:rsid w:val="001E3629"/>
    <w:rsid w:val="001E3E6C"/>
    <w:rsid w:val="001E43CC"/>
    <w:rsid w:val="001E48EA"/>
    <w:rsid w:val="001E4FC4"/>
    <w:rsid w:val="001E51A2"/>
    <w:rsid w:val="001E57CA"/>
    <w:rsid w:val="001E5962"/>
    <w:rsid w:val="001E5D14"/>
    <w:rsid w:val="001E6421"/>
    <w:rsid w:val="001E6674"/>
    <w:rsid w:val="001E70EA"/>
    <w:rsid w:val="001F02CD"/>
    <w:rsid w:val="001F0A5E"/>
    <w:rsid w:val="001F0A72"/>
    <w:rsid w:val="001F0DCA"/>
    <w:rsid w:val="001F17E3"/>
    <w:rsid w:val="001F302E"/>
    <w:rsid w:val="001F44D3"/>
    <w:rsid w:val="001F4765"/>
    <w:rsid w:val="001F4AF0"/>
    <w:rsid w:val="001F5040"/>
    <w:rsid w:val="001F5BF9"/>
    <w:rsid w:val="001F618A"/>
    <w:rsid w:val="001F6460"/>
    <w:rsid w:val="001F6826"/>
    <w:rsid w:val="001F797E"/>
    <w:rsid w:val="001F79DC"/>
    <w:rsid w:val="00200A7D"/>
    <w:rsid w:val="002010A4"/>
    <w:rsid w:val="00201D10"/>
    <w:rsid w:val="0020269C"/>
    <w:rsid w:val="0020272B"/>
    <w:rsid w:val="00202D57"/>
    <w:rsid w:val="00202F7A"/>
    <w:rsid w:val="002030CF"/>
    <w:rsid w:val="0020352B"/>
    <w:rsid w:val="002038C1"/>
    <w:rsid w:val="002048EC"/>
    <w:rsid w:val="00204B9C"/>
    <w:rsid w:val="00204C72"/>
    <w:rsid w:val="00205123"/>
    <w:rsid w:val="00205B11"/>
    <w:rsid w:val="00205D32"/>
    <w:rsid w:val="002071C2"/>
    <w:rsid w:val="00207596"/>
    <w:rsid w:val="00207E74"/>
    <w:rsid w:val="00210137"/>
    <w:rsid w:val="00210B5C"/>
    <w:rsid w:val="00210C96"/>
    <w:rsid w:val="00211036"/>
    <w:rsid w:val="00211075"/>
    <w:rsid w:val="00212101"/>
    <w:rsid w:val="00213177"/>
    <w:rsid w:val="00213B2D"/>
    <w:rsid w:val="00214138"/>
    <w:rsid w:val="002146AD"/>
    <w:rsid w:val="002146FB"/>
    <w:rsid w:val="00215E28"/>
    <w:rsid w:val="00215E95"/>
    <w:rsid w:val="002167E2"/>
    <w:rsid w:val="002174E7"/>
    <w:rsid w:val="00217C54"/>
    <w:rsid w:val="00217C8B"/>
    <w:rsid w:val="00220576"/>
    <w:rsid w:val="00221E74"/>
    <w:rsid w:val="00222D60"/>
    <w:rsid w:val="00222F48"/>
    <w:rsid w:val="002231E2"/>
    <w:rsid w:val="002239F4"/>
    <w:rsid w:val="0022442F"/>
    <w:rsid w:val="00224677"/>
    <w:rsid w:val="002247B9"/>
    <w:rsid w:val="00226061"/>
    <w:rsid w:val="00226225"/>
    <w:rsid w:val="00226288"/>
    <w:rsid w:val="0022661F"/>
    <w:rsid w:val="00226A73"/>
    <w:rsid w:val="00226BF6"/>
    <w:rsid w:val="00227857"/>
    <w:rsid w:val="00230259"/>
    <w:rsid w:val="002305D4"/>
    <w:rsid w:val="0023294F"/>
    <w:rsid w:val="00232D3E"/>
    <w:rsid w:val="002338FF"/>
    <w:rsid w:val="00233B50"/>
    <w:rsid w:val="00234067"/>
    <w:rsid w:val="0023491A"/>
    <w:rsid w:val="00234BB0"/>
    <w:rsid w:val="002353F9"/>
    <w:rsid w:val="00235C2B"/>
    <w:rsid w:val="002361B8"/>
    <w:rsid w:val="0023624D"/>
    <w:rsid w:val="0023632A"/>
    <w:rsid w:val="00236CC3"/>
    <w:rsid w:val="00236F82"/>
    <w:rsid w:val="002373DE"/>
    <w:rsid w:val="002376D9"/>
    <w:rsid w:val="00240884"/>
    <w:rsid w:val="00240AF6"/>
    <w:rsid w:val="0024178C"/>
    <w:rsid w:val="00242651"/>
    <w:rsid w:val="00242732"/>
    <w:rsid w:val="00242DCD"/>
    <w:rsid w:val="00243399"/>
    <w:rsid w:val="002435D8"/>
    <w:rsid w:val="00243A45"/>
    <w:rsid w:val="00243CB1"/>
    <w:rsid w:val="002443A2"/>
    <w:rsid w:val="002445E5"/>
    <w:rsid w:val="002448CB"/>
    <w:rsid w:val="0024522B"/>
    <w:rsid w:val="00246B20"/>
    <w:rsid w:val="00246FF0"/>
    <w:rsid w:val="00247DAF"/>
    <w:rsid w:val="002508AB"/>
    <w:rsid w:val="00251326"/>
    <w:rsid w:val="00251AD4"/>
    <w:rsid w:val="002524B9"/>
    <w:rsid w:val="002526A5"/>
    <w:rsid w:val="00252DEC"/>
    <w:rsid w:val="002533C2"/>
    <w:rsid w:val="002536AC"/>
    <w:rsid w:val="00253C6D"/>
    <w:rsid w:val="0025402C"/>
    <w:rsid w:val="0025562D"/>
    <w:rsid w:val="00255632"/>
    <w:rsid w:val="00255654"/>
    <w:rsid w:val="00255D31"/>
    <w:rsid w:val="0025626D"/>
    <w:rsid w:val="00256560"/>
    <w:rsid w:val="00256624"/>
    <w:rsid w:val="002575B5"/>
    <w:rsid w:val="00257F30"/>
    <w:rsid w:val="002600A1"/>
    <w:rsid w:val="00260607"/>
    <w:rsid w:val="00260CB3"/>
    <w:rsid w:val="0026181D"/>
    <w:rsid w:val="00261BE8"/>
    <w:rsid w:val="00261C7F"/>
    <w:rsid w:val="00261CDC"/>
    <w:rsid w:val="00261D7D"/>
    <w:rsid w:val="0026258F"/>
    <w:rsid w:val="00262ACE"/>
    <w:rsid w:val="00262B31"/>
    <w:rsid w:val="002633AF"/>
    <w:rsid w:val="002635FC"/>
    <w:rsid w:val="00263A79"/>
    <w:rsid w:val="00265C0D"/>
    <w:rsid w:val="00265DE2"/>
    <w:rsid w:val="0026655E"/>
    <w:rsid w:val="002671CE"/>
    <w:rsid w:val="0026756C"/>
    <w:rsid w:val="002676DE"/>
    <w:rsid w:val="0027011C"/>
    <w:rsid w:val="00270243"/>
    <w:rsid w:val="00270817"/>
    <w:rsid w:val="002715E9"/>
    <w:rsid w:val="0027194F"/>
    <w:rsid w:val="0027240B"/>
    <w:rsid w:val="002725C1"/>
    <w:rsid w:val="00272608"/>
    <w:rsid w:val="00272A50"/>
    <w:rsid w:val="002737F3"/>
    <w:rsid w:val="0027394E"/>
    <w:rsid w:val="002743CC"/>
    <w:rsid w:val="00274C38"/>
    <w:rsid w:val="00274DED"/>
    <w:rsid w:val="002753CD"/>
    <w:rsid w:val="00275582"/>
    <w:rsid w:val="002755F3"/>
    <w:rsid w:val="00275C7B"/>
    <w:rsid w:val="00276F47"/>
    <w:rsid w:val="002772B9"/>
    <w:rsid w:val="0027759D"/>
    <w:rsid w:val="00277CC4"/>
    <w:rsid w:val="002810E7"/>
    <w:rsid w:val="00281C53"/>
    <w:rsid w:val="002826B7"/>
    <w:rsid w:val="00283EA9"/>
    <w:rsid w:val="00283F74"/>
    <w:rsid w:val="00284456"/>
    <w:rsid w:val="002844A3"/>
    <w:rsid w:val="00284B9E"/>
    <w:rsid w:val="00284D31"/>
    <w:rsid w:val="002857D1"/>
    <w:rsid w:val="002865BE"/>
    <w:rsid w:val="00287648"/>
    <w:rsid w:val="00287757"/>
    <w:rsid w:val="00287FB4"/>
    <w:rsid w:val="002901CD"/>
    <w:rsid w:val="00290F89"/>
    <w:rsid w:val="00291A00"/>
    <w:rsid w:val="00292442"/>
    <w:rsid w:val="0029281D"/>
    <w:rsid w:val="002931BB"/>
    <w:rsid w:val="002931D7"/>
    <w:rsid w:val="002932CF"/>
    <w:rsid w:val="00293B14"/>
    <w:rsid w:val="00294B76"/>
    <w:rsid w:val="002953E2"/>
    <w:rsid w:val="0029579B"/>
    <w:rsid w:val="00296ABF"/>
    <w:rsid w:val="00296C8A"/>
    <w:rsid w:val="002975D7"/>
    <w:rsid w:val="002977C9"/>
    <w:rsid w:val="00297C2D"/>
    <w:rsid w:val="002A0A44"/>
    <w:rsid w:val="002A11B8"/>
    <w:rsid w:val="002A120A"/>
    <w:rsid w:val="002A175E"/>
    <w:rsid w:val="002A1929"/>
    <w:rsid w:val="002A1ACC"/>
    <w:rsid w:val="002A264E"/>
    <w:rsid w:val="002A2674"/>
    <w:rsid w:val="002A26A8"/>
    <w:rsid w:val="002A30A8"/>
    <w:rsid w:val="002A3D3F"/>
    <w:rsid w:val="002A4E2C"/>
    <w:rsid w:val="002A4F98"/>
    <w:rsid w:val="002A66A3"/>
    <w:rsid w:val="002A73A1"/>
    <w:rsid w:val="002A7ACA"/>
    <w:rsid w:val="002A7D81"/>
    <w:rsid w:val="002B0874"/>
    <w:rsid w:val="002B0D60"/>
    <w:rsid w:val="002B118F"/>
    <w:rsid w:val="002B23F8"/>
    <w:rsid w:val="002B3009"/>
    <w:rsid w:val="002B42A3"/>
    <w:rsid w:val="002B4A7C"/>
    <w:rsid w:val="002B4D46"/>
    <w:rsid w:val="002B6B22"/>
    <w:rsid w:val="002B6DE8"/>
    <w:rsid w:val="002B7185"/>
    <w:rsid w:val="002B742D"/>
    <w:rsid w:val="002B78E8"/>
    <w:rsid w:val="002B790E"/>
    <w:rsid w:val="002B79D7"/>
    <w:rsid w:val="002B7B5A"/>
    <w:rsid w:val="002B7D64"/>
    <w:rsid w:val="002C02B3"/>
    <w:rsid w:val="002C19FC"/>
    <w:rsid w:val="002C2A75"/>
    <w:rsid w:val="002C37A5"/>
    <w:rsid w:val="002C55A7"/>
    <w:rsid w:val="002C5D9A"/>
    <w:rsid w:val="002C67BA"/>
    <w:rsid w:val="002C6858"/>
    <w:rsid w:val="002C687F"/>
    <w:rsid w:val="002C6E2D"/>
    <w:rsid w:val="002C6FCF"/>
    <w:rsid w:val="002C7140"/>
    <w:rsid w:val="002C7537"/>
    <w:rsid w:val="002C76FE"/>
    <w:rsid w:val="002D10C1"/>
    <w:rsid w:val="002D11F9"/>
    <w:rsid w:val="002D19B7"/>
    <w:rsid w:val="002D19CD"/>
    <w:rsid w:val="002D1BB5"/>
    <w:rsid w:val="002D21C9"/>
    <w:rsid w:val="002D244A"/>
    <w:rsid w:val="002D2577"/>
    <w:rsid w:val="002D2A80"/>
    <w:rsid w:val="002D2AB4"/>
    <w:rsid w:val="002D2D1D"/>
    <w:rsid w:val="002D47B6"/>
    <w:rsid w:val="002D4B23"/>
    <w:rsid w:val="002D4D32"/>
    <w:rsid w:val="002D7AA5"/>
    <w:rsid w:val="002E0178"/>
    <w:rsid w:val="002E03B0"/>
    <w:rsid w:val="002E08E5"/>
    <w:rsid w:val="002E0B0F"/>
    <w:rsid w:val="002E0ED2"/>
    <w:rsid w:val="002E0EE7"/>
    <w:rsid w:val="002E1116"/>
    <w:rsid w:val="002E143F"/>
    <w:rsid w:val="002E1781"/>
    <w:rsid w:val="002E17E8"/>
    <w:rsid w:val="002E22BE"/>
    <w:rsid w:val="002E2436"/>
    <w:rsid w:val="002E3000"/>
    <w:rsid w:val="002E34C5"/>
    <w:rsid w:val="002E3829"/>
    <w:rsid w:val="002E3B71"/>
    <w:rsid w:val="002E4E4D"/>
    <w:rsid w:val="002E54B9"/>
    <w:rsid w:val="002E5553"/>
    <w:rsid w:val="002E5D33"/>
    <w:rsid w:val="002E5E0C"/>
    <w:rsid w:val="002E6414"/>
    <w:rsid w:val="002E6528"/>
    <w:rsid w:val="002E7557"/>
    <w:rsid w:val="002F07A6"/>
    <w:rsid w:val="002F0FDE"/>
    <w:rsid w:val="002F15F9"/>
    <w:rsid w:val="002F1E3D"/>
    <w:rsid w:val="002F2DC3"/>
    <w:rsid w:val="002F3731"/>
    <w:rsid w:val="002F41ED"/>
    <w:rsid w:val="002F4EDD"/>
    <w:rsid w:val="002F5105"/>
    <w:rsid w:val="002F5967"/>
    <w:rsid w:val="002F647B"/>
    <w:rsid w:val="00300A07"/>
    <w:rsid w:val="00300ADD"/>
    <w:rsid w:val="00300DB5"/>
    <w:rsid w:val="00301114"/>
    <w:rsid w:val="0030113D"/>
    <w:rsid w:val="00301647"/>
    <w:rsid w:val="0030192B"/>
    <w:rsid w:val="0030259D"/>
    <w:rsid w:val="00302A0C"/>
    <w:rsid w:val="00302CDE"/>
    <w:rsid w:val="00303ABF"/>
    <w:rsid w:val="00303DF9"/>
    <w:rsid w:val="0030427C"/>
    <w:rsid w:val="00304AC1"/>
    <w:rsid w:val="003053E2"/>
    <w:rsid w:val="00305EEF"/>
    <w:rsid w:val="00306043"/>
    <w:rsid w:val="003060A8"/>
    <w:rsid w:val="00306252"/>
    <w:rsid w:val="0031041C"/>
    <w:rsid w:val="0031053E"/>
    <w:rsid w:val="0031211F"/>
    <w:rsid w:val="0031266F"/>
    <w:rsid w:val="00312A7C"/>
    <w:rsid w:val="00312EF6"/>
    <w:rsid w:val="003134AD"/>
    <w:rsid w:val="00313755"/>
    <w:rsid w:val="00313A63"/>
    <w:rsid w:val="00314CFA"/>
    <w:rsid w:val="00315198"/>
    <w:rsid w:val="00315DC5"/>
    <w:rsid w:val="0031680B"/>
    <w:rsid w:val="00316DFD"/>
    <w:rsid w:val="00316EE4"/>
    <w:rsid w:val="003172A7"/>
    <w:rsid w:val="003173BB"/>
    <w:rsid w:val="00317D2D"/>
    <w:rsid w:val="00317F17"/>
    <w:rsid w:val="00320BBE"/>
    <w:rsid w:val="00321517"/>
    <w:rsid w:val="00321A79"/>
    <w:rsid w:val="0032285A"/>
    <w:rsid w:val="00324172"/>
    <w:rsid w:val="00324524"/>
    <w:rsid w:val="00325018"/>
    <w:rsid w:val="00325069"/>
    <w:rsid w:val="003254A4"/>
    <w:rsid w:val="00325A9E"/>
    <w:rsid w:val="00325AAF"/>
    <w:rsid w:val="00325E0A"/>
    <w:rsid w:val="00326A25"/>
    <w:rsid w:val="00326E64"/>
    <w:rsid w:val="0032719F"/>
    <w:rsid w:val="003278BA"/>
    <w:rsid w:val="00327AC2"/>
    <w:rsid w:val="003306A2"/>
    <w:rsid w:val="00330D46"/>
    <w:rsid w:val="00330FD7"/>
    <w:rsid w:val="00331625"/>
    <w:rsid w:val="00331931"/>
    <w:rsid w:val="00331C3A"/>
    <w:rsid w:val="003326D2"/>
    <w:rsid w:val="003337C6"/>
    <w:rsid w:val="00333A16"/>
    <w:rsid w:val="00333D25"/>
    <w:rsid w:val="0033440F"/>
    <w:rsid w:val="003347F7"/>
    <w:rsid w:val="0033628F"/>
    <w:rsid w:val="0033686F"/>
    <w:rsid w:val="00337111"/>
    <w:rsid w:val="00337408"/>
    <w:rsid w:val="00337868"/>
    <w:rsid w:val="00337CDF"/>
    <w:rsid w:val="00337D06"/>
    <w:rsid w:val="003408F0"/>
    <w:rsid w:val="00340F88"/>
    <w:rsid w:val="003418F5"/>
    <w:rsid w:val="00341D4C"/>
    <w:rsid w:val="00341F59"/>
    <w:rsid w:val="00341F6C"/>
    <w:rsid w:val="0034207F"/>
    <w:rsid w:val="00342297"/>
    <w:rsid w:val="00342486"/>
    <w:rsid w:val="003425C3"/>
    <w:rsid w:val="00343100"/>
    <w:rsid w:val="00343F93"/>
    <w:rsid w:val="0034494D"/>
    <w:rsid w:val="00344D6E"/>
    <w:rsid w:val="003453A8"/>
    <w:rsid w:val="003456FF"/>
    <w:rsid w:val="003466DE"/>
    <w:rsid w:val="00346ADF"/>
    <w:rsid w:val="00347812"/>
    <w:rsid w:val="0034791B"/>
    <w:rsid w:val="00347C3F"/>
    <w:rsid w:val="0035068B"/>
    <w:rsid w:val="00351996"/>
    <w:rsid w:val="00351B0C"/>
    <w:rsid w:val="00351D6D"/>
    <w:rsid w:val="00351E90"/>
    <w:rsid w:val="0035206E"/>
    <w:rsid w:val="00352E5F"/>
    <w:rsid w:val="00353FC5"/>
    <w:rsid w:val="00354A7F"/>
    <w:rsid w:val="00355826"/>
    <w:rsid w:val="003558F6"/>
    <w:rsid w:val="00356026"/>
    <w:rsid w:val="003563B4"/>
    <w:rsid w:val="00356A79"/>
    <w:rsid w:val="003573F1"/>
    <w:rsid w:val="00357692"/>
    <w:rsid w:val="003609C1"/>
    <w:rsid w:val="0036126C"/>
    <w:rsid w:val="00361ECA"/>
    <w:rsid w:val="0036200D"/>
    <w:rsid w:val="003623D3"/>
    <w:rsid w:val="0036258B"/>
    <w:rsid w:val="00362729"/>
    <w:rsid w:val="00362A66"/>
    <w:rsid w:val="003636D0"/>
    <w:rsid w:val="003636D4"/>
    <w:rsid w:val="00363F02"/>
    <w:rsid w:val="00363FCB"/>
    <w:rsid w:val="00364559"/>
    <w:rsid w:val="00366E1B"/>
    <w:rsid w:val="00367068"/>
    <w:rsid w:val="0036747C"/>
    <w:rsid w:val="00370000"/>
    <w:rsid w:val="003702E7"/>
    <w:rsid w:val="00370562"/>
    <w:rsid w:val="00370C5B"/>
    <w:rsid w:val="003718C3"/>
    <w:rsid w:val="00371A0A"/>
    <w:rsid w:val="003727CD"/>
    <w:rsid w:val="00372F24"/>
    <w:rsid w:val="003731E8"/>
    <w:rsid w:val="003753F7"/>
    <w:rsid w:val="003756A1"/>
    <w:rsid w:val="00375A74"/>
    <w:rsid w:val="00375DE3"/>
    <w:rsid w:val="00375F70"/>
    <w:rsid w:val="003763C4"/>
    <w:rsid w:val="0037663F"/>
    <w:rsid w:val="00376FAE"/>
    <w:rsid w:val="00376FEE"/>
    <w:rsid w:val="0037727C"/>
    <w:rsid w:val="003800E4"/>
    <w:rsid w:val="003803CA"/>
    <w:rsid w:val="00380438"/>
    <w:rsid w:val="0038051D"/>
    <w:rsid w:val="00382403"/>
    <w:rsid w:val="003824AA"/>
    <w:rsid w:val="003831A1"/>
    <w:rsid w:val="00383FF6"/>
    <w:rsid w:val="0038400F"/>
    <w:rsid w:val="00384ADF"/>
    <w:rsid w:val="00384FF4"/>
    <w:rsid w:val="0038559E"/>
    <w:rsid w:val="00386C3E"/>
    <w:rsid w:val="00387193"/>
    <w:rsid w:val="0039096C"/>
    <w:rsid w:val="003912A1"/>
    <w:rsid w:val="00391A97"/>
    <w:rsid w:val="0039205E"/>
    <w:rsid w:val="00392F65"/>
    <w:rsid w:val="003935BF"/>
    <w:rsid w:val="00393668"/>
    <w:rsid w:val="00393FAA"/>
    <w:rsid w:val="0039415F"/>
    <w:rsid w:val="0039477E"/>
    <w:rsid w:val="003954A4"/>
    <w:rsid w:val="00396D03"/>
    <w:rsid w:val="003970D2"/>
    <w:rsid w:val="003972DF"/>
    <w:rsid w:val="003975FB"/>
    <w:rsid w:val="003978F8"/>
    <w:rsid w:val="003A0B60"/>
    <w:rsid w:val="003A1A2B"/>
    <w:rsid w:val="003A20BF"/>
    <w:rsid w:val="003A2BFF"/>
    <w:rsid w:val="003A2CD5"/>
    <w:rsid w:val="003A2FE3"/>
    <w:rsid w:val="003A3301"/>
    <w:rsid w:val="003A3ACA"/>
    <w:rsid w:val="003A3D8A"/>
    <w:rsid w:val="003A3E80"/>
    <w:rsid w:val="003A3F2F"/>
    <w:rsid w:val="003A414F"/>
    <w:rsid w:val="003A4666"/>
    <w:rsid w:val="003A4E80"/>
    <w:rsid w:val="003A538F"/>
    <w:rsid w:val="003A607D"/>
    <w:rsid w:val="003A7302"/>
    <w:rsid w:val="003A7AFC"/>
    <w:rsid w:val="003A7D99"/>
    <w:rsid w:val="003A7E54"/>
    <w:rsid w:val="003A7E6D"/>
    <w:rsid w:val="003B0FCB"/>
    <w:rsid w:val="003B1D62"/>
    <w:rsid w:val="003B2810"/>
    <w:rsid w:val="003B2C2B"/>
    <w:rsid w:val="003B2E0D"/>
    <w:rsid w:val="003B2F4B"/>
    <w:rsid w:val="003B351F"/>
    <w:rsid w:val="003B3A12"/>
    <w:rsid w:val="003B443D"/>
    <w:rsid w:val="003B45CD"/>
    <w:rsid w:val="003B4750"/>
    <w:rsid w:val="003B4914"/>
    <w:rsid w:val="003B4AA5"/>
    <w:rsid w:val="003B53BD"/>
    <w:rsid w:val="003B6C97"/>
    <w:rsid w:val="003B71A1"/>
    <w:rsid w:val="003B74BE"/>
    <w:rsid w:val="003B75ED"/>
    <w:rsid w:val="003B7771"/>
    <w:rsid w:val="003B781C"/>
    <w:rsid w:val="003C0A6C"/>
    <w:rsid w:val="003C1F69"/>
    <w:rsid w:val="003C25F9"/>
    <w:rsid w:val="003C2BDA"/>
    <w:rsid w:val="003C2C0D"/>
    <w:rsid w:val="003C2C66"/>
    <w:rsid w:val="003C300B"/>
    <w:rsid w:val="003C3B57"/>
    <w:rsid w:val="003C3DBB"/>
    <w:rsid w:val="003C3F7A"/>
    <w:rsid w:val="003C44E4"/>
    <w:rsid w:val="003C52E1"/>
    <w:rsid w:val="003C57BB"/>
    <w:rsid w:val="003C6A63"/>
    <w:rsid w:val="003C6D6C"/>
    <w:rsid w:val="003C75D1"/>
    <w:rsid w:val="003C7903"/>
    <w:rsid w:val="003C7D07"/>
    <w:rsid w:val="003D0B26"/>
    <w:rsid w:val="003D1B95"/>
    <w:rsid w:val="003D2373"/>
    <w:rsid w:val="003D244F"/>
    <w:rsid w:val="003D2616"/>
    <w:rsid w:val="003D2851"/>
    <w:rsid w:val="003D294B"/>
    <w:rsid w:val="003D2ADC"/>
    <w:rsid w:val="003D2FC3"/>
    <w:rsid w:val="003D3117"/>
    <w:rsid w:val="003D3329"/>
    <w:rsid w:val="003D3FBD"/>
    <w:rsid w:val="003D4029"/>
    <w:rsid w:val="003D4352"/>
    <w:rsid w:val="003D44EC"/>
    <w:rsid w:val="003D4F8B"/>
    <w:rsid w:val="003D5293"/>
    <w:rsid w:val="003D5307"/>
    <w:rsid w:val="003D6672"/>
    <w:rsid w:val="003D66C9"/>
    <w:rsid w:val="003D682F"/>
    <w:rsid w:val="003D6C87"/>
    <w:rsid w:val="003D707C"/>
    <w:rsid w:val="003D70B4"/>
    <w:rsid w:val="003D70C8"/>
    <w:rsid w:val="003E060B"/>
    <w:rsid w:val="003E07D5"/>
    <w:rsid w:val="003E0F81"/>
    <w:rsid w:val="003E1BAD"/>
    <w:rsid w:val="003E240E"/>
    <w:rsid w:val="003E26E7"/>
    <w:rsid w:val="003E2FEB"/>
    <w:rsid w:val="003E329B"/>
    <w:rsid w:val="003E3A95"/>
    <w:rsid w:val="003E3F16"/>
    <w:rsid w:val="003E4645"/>
    <w:rsid w:val="003E4809"/>
    <w:rsid w:val="003E48F1"/>
    <w:rsid w:val="003E5011"/>
    <w:rsid w:val="003E55A4"/>
    <w:rsid w:val="003E7163"/>
    <w:rsid w:val="003E7911"/>
    <w:rsid w:val="003F009A"/>
    <w:rsid w:val="003F0C2C"/>
    <w:rsid w:val="003F0C6C"/>
    <w:rsid w:val="003F1A32"/>
    <w:rsid w:val="003F1A90"/>
    <w:rsid w:val="003F1DFD"/>
    <w:rsid w:val="003F1ED4"/>
    <w:rsid w:val="003F3345"/>
    <w:rsid w:val="003F3506"/>
    <w:rsid w:val="003F38A2"/>
    <w:rsid w:val="003F3A15"/>
    <w:rsid w:val="003F3A41"/>
    <w:rsid w:val="003F3FCF"/>
    <w:rsid w:val="003F449D"/>
    <w:rsid w:val="003F4EEF"/>
    <w:rsid w:val="003F5080"/>
    <w:rsid w:val="003F5238"/>
    <w:rsid w:val="003F54BE"/>
    <w:rsid w:val="003F5A0F"/>
    <w:rsid w:val="003F5A35"/>
    <w:rsid w:val="003F6637"/>
    <w:rsid w:val="003F6BDD"/>
    <w:rsid w:val="003F774D"/>
    <w:rsid w:val="003F782D"/>
    <w:rsid w:val="003F7C1A"/>
    <w:rsid w:val="003F7EFB"/>
    <w:rsid w:val="00400714"/>
    <w:rsid w:val="004012A4"/>
    <w:rsid w:val="004015D8"/>
    <w:rsid w:val="00401AC2"/>
    <w:rsid w:val="00401BF0"/>
    <w:rsid w:val="004024A9"/>
    <w:rsid w:val="004028D1"/>
    <w:rsid w:val="0040292D"/>
    <w:rsid w:val="00402A47"/>
    <w:rsid w:val="00402CE5"/>
    <w:rsid w:val="004030D9"/>
    <w:rsid w:val="0040337A"/>
    <w:rsid w:val="00403413"/>
    <w:rsid w:val="004034E3"/>
    <w:rsid w:val="00403C26"/>
    <w:rsid w:val="00403D9C"/>
    <w:rsid w:val="00404DEE"/>
    <w:rsid w:val="00405A58"/>
    <w:rsid w:val="00405C06"/>
    <w:rsid w:val="00406878"/>
    <w:rsid w:val="0040743E"/>
    <w:rsid w:val="0040777B"/>
    <w:rsid w:val="00407885"/>
    <w:rsid w:val="004100F3"/>
    <w:rsid w:val="00414C7D"/>
    <w:rsid w:val="00414F4F"/>
    <w:rsid w:val="00415D09"/>
    <w:rsid w:val="00416180"/>
    <w:rsid w:val="00416661"/>
    <w:rsid w:val="00416FC0"/>
    <w:rsid w:val="00417039"/>
    <w:rsid w:val="00417333"/>
    <w:rsid w:val="004178B0"/>
    <w:rsid w:val="00417B4B"/>
    <w:rsid w:val="00417EBE"/>
    <w:rsid w:val="00420898"/>
    <w:rsid w:val="0042122D"/>
    <w:rsid w:val="004230F3"/>
    <w:rsid w:val="00423BC4"/>
    <w:rsid w:val="00423F1F"/>
    <w:rsid w:val="0042404A"/>
    <w:rsid w:val="004247A7"/>
    <w:rsid w:val="004250D8"/>
    <w:rsid w:val="004253CE"/>
    <w:rsid w:val="0042583F"/>
    <w:rsid w:val="0042596B"/>
    <w:rsid w:val="00425FE5"/>
    <w:rsid w:val="00426153"/>
    <w:rsid w:val="0042657E"/>
    <w:rsid w:val="004302B1"/>
    <w:rsid w:val="00430302"/>
    <w:rsid w:val="00431825"/>
    <w:rsid w:val="00431AF5"/>
    <w:rsid w:val="00431B86"/>
    <w:rsid w:val="00431DC4"/>
    <w:rsid w:val="0043293F"/>
    <w:rsid w:val="004335DB"/>
    <w:rsid w:val="00433BC1"/>
    <w:rsid w:val="00433F43"/>
    <w:rsid w:val="004342DF"/>
    <w:rsid w:val="004343B1"/>
    <w:rsid w:val="004344F2"/>
    <w:rsid w:val="00435334"/>
    <w:rsid w:val="004355F7"/>
    <w:rsid w:val="00436175"/>
    <w:rsid w:val="00437284"/>
    <w:rsid w:val="00437842"/>
    <w:rsid w:val="00437C9B"/>
    <w:rsid w:val="0044145F"/>
    <w:rsid w:val="0044148B"/>
    <w:rsid w:val="0044218D"/>
    <w:rsid w:val="004424EC"/>
    <w:rsid w:val="004435BE"/>
    <w:rsid w:val="00443CB5"/>
    <w:rsid w:val="00444BDD"/>
    <w:rsid w:val="00444D80"/>
    <w:rsid w:val="004455F5"/>
    <w:rsid w:val="0044611A"/>
    <w:rsid w:val="00446B9A"/>
    <w:rsid w:val="004502DD"/>
    <w:rsid w:val="00450439"/>
    <w:rsid w:val="0045185B"/>
    <w:rsid w:val="00451D86"/>
    <w:rsid w:val="004521BF"/>
    <w:rsid w:val="00452294"/>
    <w:rsid w:val="00452568"/>
    <w:rsid w:val="00452ABC"/>
    <w:rsid w:val="00453399"/>
    <w:rsid w:val="0045376B"/>
    <w:rsid w:val="0045443E"/>
    <w:rsid w:val="004546C8"/>
    <w:rsid w:val="004547DD"/>
    <w:rsid w:val="004551B7"/>
    <w:rsid w:val="0045597E"/>
    <w:rsid w:val="00455994"/>
    <w:rsid w:val="00455FB7"/>
    <w:rsid w:val="00456F3C"/>
    <w:rsid w:val="00457963"/>
    <w:rsid w:val="0045796F"/>
    <w:rsid w:val="00460B70"/>
    <w:rsid w:val="00460EB8"/>
    <w:rsid w:val="00461991"/>
    <w:rsid w:val="004620C7"/>
    <w:rsid w:val="004621A2"/>
    <w:rsid w:val="00462EC0"/>
    <w:rsid w:val="00463436"/>
    <w:rsid w:val="0046373D"/>
    <w:rsid w:val="00463E1E"/>
    <w:rsid w:val="0046413C"/>
    <w:rsid w:val="004646F8"/>
    <w:rsid w:val="00464A44"/>
    <w:rsid w:val="0046505F"/>
    <w:rsid w:val="00465844"/>
    <w:rsid w:val="004658A0"/>
    <w:rsid w:val="00466199"/>
    <w:rsid w:val="004664F8"/>
    <w:rsid w:val="00466E0E"/>
    <w:rsid w:val="004670FB"/>
    <w:rsid w:val="00467742"/>
    <w:rsid w:val="00467BF7"/>
    <w:rsid w:val="004705F9"/>
    <w:rsid w:val="00471446"/>
    <w:rsid w:val="00472451"/>
    <w:rsid w:val="00472EC8"/>
    <w:rsid w:val="00472F53"/>
    <w:rsid w:val="004730B6"/>
    <w:rsid w:val="00473E66"/>
    <w:rsid w:val="00473E70"/>
    <w:rsid w:val="004744DC"/>
    <w:rsid w:val="00474B26"/>
    <w:rsid w:val="00475145"/>
    <w:rsid w:val="00475624"/>
    <w:rsid w:val="004758E3"/>
    <w:rsid w:val="00475C60"/>
    <w:rsid w:val="00475F2F"/>
    <w:rsid w:val="00476141"/>
    <w:rsid w:val="00476152"/>
    <w:rsid w:val="004777FB"/>
    <w:rsid w:val="00480DC6"/>
    <w:rsid w:val="00481674"/>
    <w:rsid w:val="00481819"/>
    <w:rsid w:val="00481A08"/>
    <w:rsid w:val="00482114"/>
    <w:rsid w:val="004822B8"/>
    <w:rsid w:val="0048263F"/>
    <w:rsid w:val="00482D14"/>
    <w:rsid w:val="0048370C"/>
    <w:rsid w:val="00483D8C"/>
    <w:rsid w:val="00484F12"/>
    <w:rsid w:val="00484F7A"/>
    <w:rsid w:val="004853D3"/>
    <w:rsid w:val="00485885"/>
    <w:rsid w:val="00486166"/>
    <w:rsid w:val="004863D2"/>
    <w:rsid w:val="0048667B"/>
    <w:rsid w:val="004874B9"/>
    <w:rsid w:val="00487817"/>
    <w:rsid w:val="00487A04"/>
    <w:rsid w:val="00487B4F"/>
    <w:rsid w:val="00487C2C"/>
    <w:rsid w:val="004902CA"/>
    <w:rsid w:val="00490510"/>
    <w:rsid w:val="00490907"/>
    <w:rsid w:val="00490AF0"/>
    <w:rsid w:val="004916FA"/>
    <w:rsid w:val="004918EE"/>
    <w:rsid w:val="0049236C"/>
    <w:rsid w:val="00492DE1"/>
    <w:rsid w:val="00493F24"/>
    <w:rsid w:val="00494252"/>
    <w:rsid w:val="0049455E"/>
    <w:rsid w:val="00494963"/>
    <w:rsid w:val="00494D37"/>
    <w:rsid w:val="00494F94"/>
    <w:rsid w:val="00495C62"/>
    <w:rsid w:val="004968A0"/>
    <w:rsid w:val="00496B5E"/>
    <w:rsid w:val="0049762C"/>
    <w:rsid w:val="004978A6"/>
    <w:rsid w:val="00497A91"/>
    <w:rsid w:val="004A0D1C"/>
    <w:rsid w:val="004A0EB5"/>
    <w:rsid w:val="004A1389"/>
    <w:rsid w:val="004A1C1F"/>
    <w:rsid w:val="004A1D90"/>
    <w:rsid w:val="004A2AD0"/>
    <w:rsid w:val="004A3D52"/>
    <w:rsid w:val="004A46D7"/>
    <w:rsid w:val="004A4D43"/>
    <w:rsid w:val="004A6396"/>
    <w:rsid w:val="004A731E"/>
    <w:rsid w:val="004A7370"/>
    <w:rsid w:val="004B045A"/>
    <w:rsid w:val="004B04DB"/>
    <w:rsid w:val="004B1936"/>
    <w:rsid w:val="004B1E98"/>
    <w:rsid w:val="004B244E"/>
    <w:rsid w:val="004B26FF"/>
    <w:rsid w:val="004B2721"/>
    <w:rsid w:val="004B2751"/>
    <w:rsid w:val="004B314F"/>
    <w:rsid w:val="004B3B04"/>
    <w:rsid w:val="004B3C6C"/>
    <w:rsid w:val="004B40AB"/>
    <w:rsid w:val="004B4CE1"/>
    <w:rsid w:val="004B5875"/>
    <w:rsid w:val="004B66AE"/>
    <w:rsid w:val="004B6D13"/>
    <w:rsid w:val="004B77A9"/>
    <w:rsid w:val="004C04E3"/>
    <w:rsid w:val="004C0BDF"/>
    <w:rsid w:val="004C118A"/>
    <w:rsid w:val="004C1430"/>
    <w:rsid w:val="004C197F"/>
    <w:rsid w:val="004C2263"/>
    <w:rsid w:val="004C2DF8"/>
    <w:rsid w:val="004C2EC4"/>
    <w:rsid w:val="004C300E"/>
    <w:rsid w:val="004C4381"/>
    <w:rsid w:val="004C47E5"/>
    <w:rsid w:val="004C4F5E"/>
    <w:rsid w:val="004C5059"/>
    <w:rsid w:val="004C630B"/>
    <w:rsid w:val="004C6494"/>
    <w:rsid w:val="004C6509"/>
    <w:rsid w:val="004C66EB"/>
    <w:rsid w:val="004C6BD5"/>
    <w:rsid w:val="004C6E0D"/>
    <w:rsid w:val="004C72DA"/>
    <w:rsid w:val="004D0712"/>
    <w:rsid w:val="004D085E"/>
    <w:rsid w:val="004D09C4"/>
    <w:rsid w:val="004D0A65"/>
    <w:rsid w:val="004D0D2A"/>
    <w:rsid w:val="004D0E09"/>
    <w:rsid w:val="004D17F8"/>
    <w:rsid w:val="004D18C0"/>
    <w:rsid w:val="004D1AC4"/>
    <w:rsid w:val="004D200A"/>
    <w:rsid w:val="004D36A6"/>
    <w:rsid w:val="004D3ACE"/>
    <w:rsid w:val="004D4288"/>
    <w:rsid w:val="004D4894"/>
    <w:rsid w:val="004D4E1A"/>
    <w:rsid w:val="004D4E40"/>
    <w:rsid w:val="004D4FBD"/>
    <w:rsid w:val="004D5882"/>
    <w:rsid w:val="004D6105"/>
    <w:rsid w:val="004D6821"/>
    <w:rsid w:val="004E01DF"/>
    <w:rsid w:val="004E0399"/>
    <w:rsid w:val="004E08E2"/>
    <w:rsid w:val="004E0E3E"/>
    <w:rsid w:val="004E134A"/>
    <w:rsid w:val="004E22A8"/>
    <w:rsid w:val="004E283A"/>
    <w:rsid w:val="004E2E7E"/>
    <w:rsid w:val="004E448C"/>
    <w:rsid w:val="004E4A42"/>
    <w:rsid w:val="004E59B1"/>
    <w:rsid w:val="004E60F4"/>
    <w:rsid w:val="004E6C3A"/>
    <w:rsid w:val="004E6EDB"/>
    <w:rsid w:val="004E78B5"/>
    <w:rsid w:val="004F0166"/>
    <w:rsid w:val="004F03F3"/>
    <w:rsid w:val="004F0FB3"/>
    <w:rsid w:val="004F1C43"/>
    <w:rsid w:val="004F22E4"/>
    <w:rsid w:val="004F4C57"/>
    <w:rsid w:val="004F685B"/>
    <w:rsid w:val="004F6B8D"/>
    <w:rsid w:val="004F722F"/>
    <w:rsid w:val="004F7BAE"/>
    <w:rsid w:val="00500401"/>
    <w:rsid w:val="0050070A"/>
    <w:rsid w:val="00500AA5"/>
    <w:rsid w:val="00500C6B"/>
    <w:rsid w:val="00500E46"/>
    <w:rsid w:val="0050214D"/>
    <w:rsid w:val="005021BD"/>
    <w:rsid w:val="005038D0"/>
    <w:rsid w:val="00503F05"/>
    <w:rsid w:val="00504037"/>
    <w:rsid w:val="005040D3"/>
    <w:rsid w:val="005047D7"/>
    <w:rsid w:val="00505E4F"/>
    <w:rsid w:val="00506B38"/>
    <w:rsid w:val="00507541"/>
    <w:rsid w:val="00507966"/>
    <w:rsid w:val="00507B7B"/>
    <w:rsid w:val="00507F8E"/>
    <w:rsid w:val="0051031E"/>
    <w:rsid w:val="00510AFF"/>
    <w:rsid w:val="00510E09"/>
    <w:rsid w:val="0051166C"/>
    <w:rsid w:val="00511DD3"/>
    <w:rsid w:val="0051309A"/>
    <w:rsid w:val="00513923"/>
    <w:rsid w:val="00513D22"/>
    <w:rsid w:val="00517156"/>
    <w:rsid w:val="005172CF"/>
    <w:rsid w:val="00520DD8"/>
    <w:rsid w:val="00522C0A"/>
    <w:rsid w:val="00522C2E"/>
    <w:rsid w:val="00522D70"/>
    <w:rsid w:val="00523560"/>
    <w:rsid w:val="0052383B"/>
    <w:rsid w:val="005245AC"/>
    <w:rsid w:val="00524EFB"/>
    <w:rsid w:val="00525264"/>
    <w:rsid w:val="005254C7"/>
    <w:rsid w:val="00525739"/>
    <w:rsid w:val="00526635"/>
    <w:rsid w:val="005269A1"/>
    <w:rsid w:val="00526FB4"/>
    <w:rsid w:val="0052734A"/>
    <w:rsid w:val="005310D1"/>
    <w:rsid w:val="00531BE4"/>
    <w:rsid w:val="00531C6F"/>
    <w:rsid w:val="00532360"/>
    <w:rsid w:val="0053274D"/>
    <w:rsid w:val="005327B9"/>
    <w:rsid w:val="00533F48"/>
    <w:rsid w:val="00534DA9"/>
    <w:rsid w:val="0053703D"/>
    <w:rsid w:val="005370D3"/>
    <w:rsid w:val="00537C89"/>
    <w:rsid w:val="005402F0"/>
    <w:rsid w:val="00541204"/>
    <w:rsid w:val="005414EE"/>
    <w:rsid w:val="00542301"/>
    <w:rsid w:val="005423F5"/>
    <w:rsid w:val="00542700"/>
    <w:rsid w:val="00543087"/>
    <w:rsid w:val="00543DF9"/>
    <w:rsid w:val="00544D97"/>
    <w:rsid w:val="005452DC"/>
    <w:rsid w:val="00545800"/>
    <w:rsid w:val="00545998"/>
    <w:rsid w:val="00546234"/>
    <w:rsid w:val="005464A9"/>
    <w:rsid w:val="00546BB4"/>
    <w:rsid w:val="00546E41"/>
    <w:rsid w:val="005470CD"/>
    <w:rsid w:val="005471ED"/>
    <w:rsid w:val="00550377"/>
    <w:rsid w:val="005508AE"/>
    <w:rsid w:val="00551248"/>
    <w:rsid w:val="005516A4"/>
    <w:rsid w:val="00552511"/>
    <w:rsid w:val="00552D1A"/>
    <w:rsid w:val="005542F9"/>
    <w:rsid w:val="00554A12"/>
    <w:rsid w:val="00554EA2"/>
    <w:rsid w:val="00555230"/>
    <w:rsid w:val="00555BDA"/>
    <w:rsid w:val="00555C8C"/>
    <w:rsid w:val="005560C0"/>
    <w:rsid w:val="00556110"/>
    <w:rsid w:val="005567D1"/>
    <w:rsid w:val="00556D85"/>
    <w:rsid w:val="00556EBA"/>
    <w:rsid w:val="00557CF6"/>
    <w:rsid w:val="005600E7"/>
    <w:rsid w:val="005601B8"/>
    <w:rsid w:val="005602D3"/>
    <w:rsid w:val="00560B95"/>
    <w:rsid w:val="0056199B"/>
    <w:rsid w:val="00561B79"/>
    <w:rsid w:val="00561C61"/>
    <w:rsid w:val="00562927"/>
    <w:rsid w:val="00562AC9"/>
    <w:rsid w:val="00562C57"/>
    <w:rsid w:val="00564630"/>
    <w:rsid w:val="0056463E"/>
    <w:rsid w:val="00564D74"/>
    <w:rsid w:val="00565168"/>
    <w:rsid w:val="005654D3"/>
    <w:rsid w:val="005656E0"/>
    <w:rsid w:val="005664B7"/>
    <w:rsid w:val="00566D07"/>
    <w:rsid w:val="00566D20"/>
    <w:rsid w:val="00566E04"/>
    <w:rsid w:val="00567685"/>
    <w:rsid w:val="00573246"/>
    <w:rsid w:val="0057348A"/>
    <w:rsid w:val="00573C8A"/>
    <w:rsid w:val="00573E71"/>
    <w:rsid w:val="0057409A"/>
    <w:rsid w:val="005744F5"/>
    <w:rsid w:val="00574B82"/>
    <w:rsid w:val="0057571F"/>
    <w:rsid w:val="005758B4"/>
    <w:rsid w:val="00575D0E"/>
    <w:rsid w:val="00575DAA"/>
    <w:rsid w:val="00577810"/>
    <w:rsid w:val="00577A46"/>
    <w:rsid w:val="005806F6"/>
    <w:rsid w:val="005808C1"/>
    <w:rsid w:val="00580D1B"/>
    <w:rsid w:val="005822D3"/>
    <w:rsid w:val="00582406"/>
    <w:rsid w:val="005824BF"/>
    <w:rsid w:val="00582B69"/>
    <w:rsid w:val="00582F97"/>
    <w:rsid w:val="005843D3"/>
    <w:rsid w:val="005849AB"/>
    <w:rsid w:val="00584C06"/>
    <w:rsid w:val="00584D45"/>
    <w:rsid w:val="0058629F"/>
    <w:rsid w:val="00586D45"/>
    <w:rsid w:val="005877FC"/>
    <w:rsid w:val="00590AC9"/>
    <w:rsid w:val="00590AEE"/>
    <w:rsid w:val="00591195"/>
    <w:rsid w:val="005916FB"/>
    <w:rsid w:val="005916FE"/>
    <w:rsid w:val="00591BB6"/>
    <w:rsid w:val="00592C65"/>
    <w:rsid w:val="00593334"/>
    <w:rsid w:val="0059378B"/>
    <w:rsid w:val="00593EF8"/>
    <w:rsid w:val="00594587"/>
    <w:rsid w:val="00594B88"/>
    <w:rsid w:val="005953CA"/>
    <w:rsid w:val="0059548C"/>
    <w:rsid w:val="005956F6"/>
    <w:rsid w:val="0059583A"/>
    <w:rsid w:val="00595A22"/>
    <w:rsid w:val="00595D1D"/>
    <w:rsid w:val="00596A94"/>
    <w:rsid w:val="00596CF7"/>
    <w:rsid w:val="00596F6F"/>
    <w:rsid w:val="0059706F"/>
    <w:rsid w:val="00597959"/>
    <w:rsid w:val="00597C60"/>
    <w:rsid w:val="005A018A"/>
    <w:rsid w:val="005A09FD"/>
    <w:rsid w:val="005A135A"/>
    <w:rsid w:val="005A187B"/>
    <w:rsid w:val="005A2B11"/>
    <w:rsid w:val="005A2FCF"/>
    <w:rsid w:val="005A3440"/>
    <w:rsid w:val="005A46E2"/>
    <w:rsid w:val="005A67D7"/>
    <w:rsid w:val="005A6CE9"/>
    <w:rsid w:val="005A72F0"/>
    <w:rsid w:val="005A73B1"/>
    <w:rsid w:val="005A7BE6"/>
    <w:rsid w:val="005A7F73"/>
    <w:rsid w:val="005B2311"/>
    <w:rsid w:val="005B33A5"/>
    <w:rsid w:val="005B3936"/>
    <w:rsid w:val="005B47FA"/>
    <w:rsid w:val="005B50E0"/>
    <w:rsid w:val="005B587B"/>
    <w:rsid w:val="005B5DA0"/>
    <w:rsid w:val="005B6842"/>
    <w:rsid w:val="005B6B22"/>
    <w:rsid w:val="005B6DB4"/>
    <w:rsid w:val="005B734C"/>
    <w:rsid w:val="005C04AB"/>
    <w:rsid w:val="005C0DAF"/>
    <w:rsid w:val="005C0ED0"/>
    <w:rsid w:val="005C0FE4"/>
    <w:rsid w:val="005C1711"/>
    <w:rsid w:val="005C1C2E"/>
    <w:rsid w:val="005C1E38"/>
    <w:rsid w:val="005C2245"/>
    <w:rsid w:val="005C3AFE"/>
    <w:rsid w:val="005C3BB0"/>
    <w:rsid w:val="005C3EF5"/>
    <w:rsid w:val="005C414A"/>
    <w:rsid w:val="005C48BC"/>
    <w:rsid w:val="005C4A6F"/>
    <w:rsid w:val="005C4B58"/>
    <w:rsid w:val="005C62F6"/>
    <w:rsid w:val="005D0130"/>
    <w:rsid w:val="005D1AC1"/>
    <w:rsid w:val="005D21B8"/>
    <w:rsid w:val="005D25AD"/>
    <w:rsid w:val="005D2752"/>
    <w:rsid w:val="005D2B37"/>
    <w:rsid w:val="005D304E"/>
    <w:rsid w:val="005D3479"/>
    <w:rsid w:val="005D3BC3"/>
    <w:rsid w:val="005D5F96"/>
    <w:rsid w:val="005D65AD"/>
    <w:rsid w:val="005D674A"/>
    <w:rsid w:val="005D6763"/>
    <w:rsid w:val="005D72DA"/>
    <w:rsid w:val="005D7C3C"/>
    <w:rsid w:val="005D7DAF"/>
    <w:rsid w:val="005D7F05"/>
    <w:rsid w:val="005E0EAB"/>
    <w:rsid w:val="005E2165"/>
    <w:rsid w:val="005E22F3"/>
    <w:rsid w:val="005E2F0C"/>
    <w:rsid w:val="005E380B"/>
    <w:rsid w:val="005E3C28"/>
    <w:rsid w:val="005E3F3A"/>
    <w:rsid w:val="005E439C"/>
    <w:rsid w:val="005E4EFE"/>
    <w:rsid w:val="005E69D4"/>
    <w:rsid w:val="005E6D6B"/>
    <w:rsid w:val="005E7E31"/>
    <w:rsid w:val="005F15E0"/>
    <w:rsid w:val="005F1870"/>
    <w:rsid w:val="005F277D"/>
    <w:rsid w:val="005F2FD2"/>
    <w:rsid w:val="005F3ACF"/>
    <w:rsid w:val="005F3BFD"/>
    <w:rsid w:val="005F4097"/>
    <w:rsid w:val="005F422E"/>
    <w:rsid w:val="005F4F76"/>
    <w:rsid w:val="005F50FE"/>
    <w:rsid w:val="005F586B"/>
    <w:rsid w:val="005F5B06"/>
    <w:rsid w:val="005F6CC6"/>
    <w:rsid w:val="005F6D30"/>
    <w:rsid w:val="005F70A7"/>
    <w:rsid w:val="005F7C1C"/>
    <w:rsid w:val="00601341"/>
    <w:rsid w:val="0060174C"/>
    <w:rsid w:val="00602C0D"/>
    <w:rsid w:val="0060330F"/>
    <w:rsid w:val="006035AB"/>
    <w:rsid w:val="0060377B"/>
    <w:rsid w:val="006039DD"/>
    <w:rsid w:val="00603AFA"/>
    <w:rsid w:val="00603CE8"/>
    <w:rsid w:val="00603E84"/>
    <w:rsid w:val="0060442D"/>
    <w:rsid w:val="0060470A"/>
    <w:rsid w:val="00604B4C"/>
    <w:rsid w:val="00605ECF"/>
    <w:rsid w:val="0060612B"/>
    <w:rsid w:val="0060668A"/>
    <w:rsid w:val="00607178"/>
    <w:rsid w:val="006072E6"/>
    <w:rsid w:val="006079E4"/>
    <w:rsid w:val="00607E44"/>
    <w:rsid w:val="00610636"/>
    <w:rsid w:val="006113DD"/>
    <w:rsid w:val="00611454"/>
    <w:rsid w:val="0061158B"/>
    <w:rsid w:val="006116F7"/>
    <w:rsid w:val="00612169"/>
    <w:rsid w:val="006131BC"/>
    <w:rsid w:val="0061394B"/>
    <w:rsid w:val="00613E93"/>
    <w:rsid w:val="0061535D"/>
    <w:rsid w:val="00615673"/>
    <w:rsid w:val="006161E5"/>
    <w:rsid w:val="00616561"/>
    <w:rsid w:val="006167EF"/>
    <w:rsid w:val="00616C9C"/>
    <w:rsid w:val="00616D97"/>
    <w:rsid w:val="00616D99"/>
    <w:rsid w:val="00617898"/>
    <w:rsid w:val="00617E6E"/>
    <w:rsid w:val="00620776"/>
    <w:rsid w:val="006207FD"/>
    <w:rsid w:val="00620CEE"/>
    <w:rsid w:val="0062189B"/>
    <w:rsid w:val="00621B39"/>
    <w:rsid w:val="006227C2"/>
    <w:rsid w:val="00622CE8"/>
    <w:rsid w:val="00622D8F"/>
    <w:rsid w:val="00623152"/>
    <w:rsid w:val="0062328E"/>
    <w:rsid w:val="00623492"/>
    <w:rsid w:val="00624360"/>
    <w:rsid w:val="0062488E"/>
    <w:rsid w:val="006258D9"/>
    <w:rsid w:val="00625EF4"/>
    <w:rsid w:val="00626215"/>
    <w:rsid w:val="006310C1"/>
    <w:rsid w:val="00631E3B"/>
    <w:rsid w:val="00632211"/>
    <w:rsid w:val="00632F36"/>
    <w:rsid w:val="006331C3"/>
    <w:rsid w:val="006335A3"/>
    <w:rsid w:val="00633FDC"/>
    <w:rsid w:val="00634841"/>
    <w:rsid w:val="00634DC0"/>
    <w:rsid w:val="00634E34"/>
    <w:rsid w:val="006364F7"/>
    <w:rsid w:val="00636E15"/>
    <w:rsid w:val="0063747A"/>
    <w:rsid w:val="0063799B"/>
    <w:rsid w:val="00637C68"/>
    <w:rsid w:val="00637E93"/>
    <w:rsid w:val="006404EF"/>
    <w:rsid w:val="00641ED0"/>
    <w:rsid w:val="0064251E"/>
    <w:rsid w:val="00644A84"/>
    <w:rsid w:val="00644C01"/>
    <w:rsid w:val="00644F09"/>
    <w:rsid w:val="006451D0"/>
    <w:rsid w:val="006452A9"/>
    <w:rsid w:val="00646A22"/>
    <w:rsid w:val="00647093"/>
    <w:rsid w:val="006471EC"/>
    <w:rsid w:val="006473C2"/>
    <w:rsid w:val="00647F32"/>
    <w:rsid w:val="006500F8"/>
    <w:rsid w:val="006502C2"/>
    <w:rsid w:val="006503DF"/>
    <w:rsid w:val="00650535"/>
    <w:rsid w:val="00650AEC"/>
    <w:rsid w:val="00650F8A"/>
    <w:rsid w:val="006510E4"/>
    <w:rsid w:val="006511E4"/>
    <w:rsid w:val="00651B19"/>
    <w:rsid w:val="0065203B"/>
    <w:rsid w:val="00652B82"/>
    <w:rsid w:val="00654BFF"/>
    <w:rsid w:val="00654C22"/>
    <w:rsid w:val="006550ED"/>
    <w:rsid w:val="00656852"/>
    <w:rsid w:val="006572F0"/>
    <w:rsid w:val="0065751D"/>
    <w:rsid w:val="006579BD"/>
    <w:rsid w:val="0066034F"/>
    <w:rsid w:val="0066072A"/>
    <w:rsid w:val="00663073"/>
    <w:rsid w:val="00663CDF"/>
    <w:rsid w:val="00663F50"/>
    <w:rsid w:val="00663FD9"/>
    <w:rsid w:val="00664075"/>
    <w:rsid w:val="00664787"/>
    <w:rsid w:val="00664B8C"/>
    <w:rsid w:val="00664BF5"/>
    <w:rsid w:val="00665B44"/>
    <w:rsid w:val="00666A21"/>
    <w:rsid w:val="00667189"/>
    <w:rsid w:val="00667922"/>
    <w:rsid w:val="00672D5E"/>
    <w:rsid w:val="00672F1B"/>
    <w:rsid w:val="006730D3"/>
    <w:rsid w:val="0067478C"/>
    <w:rsid w:val="006754A7"/>
    <w:rsid w:val="006757AD"/>
    <w:rsid w:val="00676908"/>
    <w:rsid w:val="00677476"/>
    <w:rsid w:val="00677CF9"/>
    <w:rsid w:val="00677F5C"/>
    <w:rsid w:val="00680680"/>
    <w:rsid w:val="00681577"/>
    <w:rsid w:val="00682270"/>
    <w:rsid w:val="00682403"/>
    <w:rsid w:val="006828B9"/>
    <w:rsid w:val="006838F2"/>
    <w:rsid w:val="00683FB4"/>
    <w:rsid w:val="00684A9C"/>
    <w:rsid w:val="00685CEE"/>
    <w:rsid w:val="00685D3D"/>
    <w:rsid w:val="0068704C"/>
    <w:rsid w:val="006905D1"/>
    <w:rsid w:val="006907DD"/>
    <w:rsid w:val="00691348"/>
    <w:rsid w:val="00691E31"/>
    <w:rsid w:val="00691F19"/>
    <w:rsid w:val="00691F77"/>
    <w:rsid w:val="006920A9"/>
    <w:rsid w:val="00692D98"/>
    <w:rsid w:val="006933DC"/>
    <w:rsid w:val="00693D15"/>
    <w:rsid w:val="00694D4B"/>
    <w:rsid w:val="00694F35"/>
    <w:rsid w:val="00696267"/>
    <w:rsid w:val="00696658"/>
    <w:rsid w:val="006A09EE"/>
    <w:rsid w:val="006A0EE1"/>
    <w:rsid w:val="006A2255"/>
    <w:rsid w:val="006A30DA"/>
    <w:rsid w:val="006A30ED"/>
    <w:rsid w:val="006A381E"/>
    <w:rsid w:val="006A384C"/>
    <w:rsid w:val="006A3D28"/>
    <w:rsid w:val="006A5BE5"/>
    <w:rsid w:val="006A60EE"/>
    <w:rsid w:val="006A60F2"/>
    <w:rsid w:val="006A69CB"/>
    <w:rsid w:val="006A6CFE"/>
    <w:rsid w:val="006A71FE"/>
    <w:rsid w:val="006A741E"/>
    <w:rsid w:val="006A774E"/>
    <w:rsid w:val="006A7860"/>
    <w:rsid w:val="006A7E92"/>
    <w:rsid w:val="006B0408"/>
    <w:rsid w:val="006B17C7"/>
    <w:rsid w:val="006B1823"/>
    <w:rsid w:val="006B190F"/>
    <w:rsid w:val="006B215B"/>
    <w:rsid w:val="006B286A"/>
    <w:rsid w:val="006B36BE"/>
    <w:rsid w:val="006B45FC"/>
    <w:rsid w:val="006B45FE"/>
    <w:rsid w:val="006B4761"/>
    <w:rsid w:val="006B4CED"/>
    <w:rsid w:val="006B4F99"/>
    <w:rsid w:val="006B511E"/>
    <w:rsid w:val="006B5643"/>
    <w:rsid w:val="006B5E90"/>
    <w:rsid w:val="006B6A6F"/>
    <w:rsid w:val="006B76E9"/>
    <w:rsid w:val="006B772C"/>
    <w:rsid w:val="006B7EDD"/>
    <w:rsid w:val="006C1639"/>
    <w:rsid w:val="006C1693"/>
    <w:rsid w:val="006C16F4"/>
    <w:rsid w:val="006C17F8"/>
    <w:rsid w:val="006C1C0A"/>
    <w:rsid w:val="006C21E3"/>
    <w:rsid w:val="006C287F"/>
    <w:rsid w:val="006C2B9C"/>
    <w:rsid w:val="006C3139"/>
    <w:rsid w:val="006C384B"/>
    <w:rsid w:val="006C4011"/>
    <w:rsid w:val="006C44D4"/>
    <w:rsid w:val="006C4B3E"/>
    <w:rsid w:val="006C520D"/>
    <w:rsid w:val="006C526F"/>
    <w:rsid w:val="006C5FC0"/>
    <w:rsid w:val="006C6F24"/>
    <w:rsid w:val="006C6F48"/>
    <w:rsid w:val="006C7559"/>
    <w:rsid w:val="006C778A"/>
    <w:rsid w:val="006D08FE"/>
    <w:rsid w:val="006D1319"/>
    <w:rsid w:val="006D147C"/>
    <w:rsid w:val="006D1D76"/>
    <w:rsid w:val="006D2896"/>
    <w:rsid w:val="006D2DED"/>
    <w:rsid w:val="006D32F0"/>
    <w:rsid w:val="006D35DB"/>
    <w:rsid w:val="006D36D8"/>
    <w:rsid w:val="006D47C6"/>
    <w:rsid w:val="006D4826"/>
    <w:rsid w:val="006D4A4B"/>
    <w:rsid w:val="006D4BA0"/>
    <w:rsid w:val="006D4E07"/>
    <w:rsid w:val="006D51BE"/>
    <w:rsid w:val="006D5A90"/>
    <w:rsid w:val="006D6EA3"/>
    <w:rsid w:val="006D76E6"/>
    <w:rsid w:val="006D7ABD"/>
    <w:rsid w:val="006E056D"/>
    <w:rsid w:val="006E0746"/>
    <w:rsid w:val="006E0FAB"/>
    <w:rsid w:val="006E10F1"/>
    <w:rsid w:val="006E2399"/>
    <w:rsid w:val="006E359B"/>
    <w:rsid w:val="006E3E8F"/>
    <w:rsid w:val="006E5601"/>
    <w:rsid w:val="006E632B"/>
    <w:rsid w:val="006E6D63"/>
    <w:rsid w:val="006F04BD"/>
    <w:rsid w:val="006F1DED"/>
    <w:rsid w:val="006F1F08"/>
    <w:rsid w:val="006F2759"/>
    <w:rsid w:val="006F2D33"/>
    <w:rsid w:val="006F2D7A"/>
    <w:rsid w:val="006F3041"/>
    <w:rsid w:val="006F4220"/>
    <w:rsid w:val="006F4388"/>
    <w:rsid w:val="006F45E3"/>
    <w:rsid w:val="006F7104"/>
    <w:rsid w:val="006F7219"/>
    <w:rsid w:val="006F73FC"/>
    <w:rsid w:val="00701020"/>
    <w:rsid w:val="007011CA"/>
    <w:rsid w:val="00701265"/>
    <w:rsid w:val="007015DE"/>
    <w:rsid w:val="00701AFC"/>
    <w:rsid w:val="007021DA"/>
    <w:rsid w:val="0070226B"/>
    <w:rsid w:val="0070250F"/>
    <w:rsid w:val="00702F29"/>
    <w:rsid w:val="00703563"/>
    <w:rsid w:val="007039E6"/>
    <w:rsid w:val="00703CB5"/>
    <w:rsid w:val="00703CE8"/>
    <w:rsid w:val="00704737"/>
    <w:rsid w:val="00704C1B"/>
    <w:rsid w:val="007059EA"/>
    <w:rsid w:val="00705D34"/>
    <w:rsid w:val="00706311"/>
    <w:rsid w:val="0070638A"/>
    <w:rsid w:val="007066EA"/>
    <w:rsid w:val="0071015D"/>
    <w:rsid w:val="00710906"/>
    <w:rsid w:val="00710F5A"/>
    <w:rsid w:val="0071117A"/>
    <w:rsid w:val="007113ED"/>
    <w:rsid w:val="00712157"/>
    <w:rsid w:val="00712433"/>
    <w:rsid w:val="00712E01"/>
    <w:rsid w:val="0071398B"/>
    <w:rsid w:val="00713AB4"/>
    <w:rsid w:val="0071412A"/>
    <w:rsid w:val="00715639"/>
    <w:rsid w:val="0071564C"/>
    <w:rsid w:val="00716322"/>
    <w:rsid w:val="00717478"/>
    <w:rsid w:val="0071774E"/>
    <w:rsid w:val="00717C27"/>
    <w:rsid w:val="007200F0"/>
    <w:rsid w:val="00720717"/>
    <w:rsid w:val="007209A3"/>
    <w:rsid w:val="00720A98"/>
    <w:rsid w:val="007215EB"/>
    <w:rsid w:val="00722328"/>
    <w:rsid w:val="0072239D"/>
    <w:rsid w:val="00722442"/>
    <w:rsid w:val="00723C2C"/>
    <w:rsid w:val="0072483E"/>
    <w:rsid w:val="00724E16"/>
    <w:rsid w:val="00724E6E"/>
    <w:rsid w:val="0072568D"/>
    <w:rsid w:val="007257E3"/>
    <w:rsid w:val="00726003"/>
    <w:rsid w:val="00726C77"/>
    <w:rsid w:val="007272EE"/>
    <w:rsid w:val="007272F6"/>
    <w:rsid w:val="00727575"/>
    <w:rsid w:val="007277DB"/>
    <w:rsid w:val="00727F09"/>
    <w:rsid w:val="00730139"/>
    <w:rsid w:val="00730EF6"/>
    <w:rsid w:val="0073108A"/>
    <w:rsid w:val="00731937"/>
    <w:rsid w:val="00732288"/>
    <w:rsid w:val="00732488"/>
    <w:rsid w:val="00732AD8"/>
    <w:rsid w:val="00733991"/>
    <w:rsid w:val="00734E3B"/>
    <w:rsid w:val="0073663C"/>
    <w:rsid w:val="0073689E"/>
    <w:rsid w:val="00736CC9"/>
    <w:rsid w:val="00737F14"/>
    <w:rsid w:val="00742EC9"/>
    <w:rsid w:val="00744138"/>
    <w:rsid w:val="0074435F"/>
    <w:rsid w:val="00744814"/>
    <w:rsid w:val="00744AB9"/>
    <w:rsid w:val="00744B7D"/>
    <w:rsid w:val="00745468"/>
    <w:rsid w:val="00745894"/>
    <w:rsid w:val="00746B8B"/>
    <w:rsid w:val="007475B7"/>
    <w:rsid w:val="00747643"/>
    <w:rsid w:val="007477CD"/>
    <w:rsid w:val="007503C3"/>
    <w:rsid w:val="00750EAA"/>
    <w:rsid w:val="0075101B"/>
    <w:rsid w:val="007510EB"/>
    <w:rsid w:val="007511DC"/>
    <w:rsid w:val="00751412"/>
    <w:rsid w:val="00751956"/>
    <w:rsid w:val="007519A9"/>
    <w:rsid w:val="0075327D"/>
    <w:rsid w:val="00753415"/>
    <w:rsid w:val="007539B7"/>
    <w:rsid w:val="00753BF1"/>
    <w:rsid w:val="00753CBF"/>
    <w:rsid w:val="00753E3C"/>
    <w:rsid w:val="00754134"/>
    <w:rsid w:val="00754553"/>
    <w:rsid w:val="00756029"/>
    <w:rsid w:val="0075649A"/>
    <w:rsid w:val="00756864"/>
    <w:rsid w:val="0076020E"/>
    <w:rsid w:val="00760C03"/>
    <w:rsid w:val="00760D0A"/>
    <w:rsid w:val="00760DB2"/>
    <w:rsid w:val="0076106D"/>
    <w:rsid w:val="00762184"/>
    <w:rsid w:val="00762550"/>
    <w:rsid w:val="00762BBD"/>
    <w:rsid w:val="0076340E"/>
    <w:rsid w:val="007635D1"/>
    <w:rsid w:val="00764D97"/>
    <w:rsid w:val="00765219"/>
    <w:rsid w:val="0076577E"/>
    <w:rsid w:val="00765B96"/>
    <w:rsid w:val="00766187"/>
    <w:rsid w:val="007661B9"/>
    <w:rsid w:val="00766231"/>
    <w:rsid w:val="007663EC"/>
    <w:rsid w:val="00766D74"/>
    <w:rsid w:val="007706BC"/>
    <w:rsid w:val="00770C42"/>
    <w:rsid w:val="00770D3F"/>
    <w:rsid w:val="0077107F"/>
    <w:rsid w:val="0077257E"/>
    <w:rsid w:val="00772DF7"/>
    <w:rsid w:val="00772F18"/>
    <w:rsid w:val="00773684"/>
    <w:rsid w:val="00774522"/>
    <w:rsid w:val="00775B73"/>
    <w:rsid w:val="00775F65"/>
    <w:rsid w:val="0077612A"/>
    <w:rsid w:val="00776142"/>
    <w:rsid w:val="00776692"/>
    <w:rsid w:val="00776CAB"/>
    <w:rsid w:val="00777355"/>
    <w:rsid w:val="0077748D"/>
    <w:rsid w:val="0078055F"/>
    <w:rsid w:val="007805E9"/>
    <w:rsid w:val="00781783"/>
    <w:rsid w:val="0078194F"/>
    <w:rsid w:val="00781974"/>
    <w:rsid w:val="00781B63"/>
    <w:rsid w:val="0078260C"/>
    <w:rsid w:val="00782A2E"/>
    <w:rsid w:val="00782E31"/>
    <w:rsid w:val="007837DE"/>
    <w:rsid w:val="007837E1"/>
    <w:rsid w:val="00783FF2"/>
    <w:rsid w:val="00784B0F"/>
    <w:rsid w:val="00784C03"/>
    <w:rsid w:val="007867A7"/>
    <w:rsid w:val="00786A3A"/>
    <w:rsid w:val="007870E2"/>
    <w:rsid w:val="00787561"/>
    <w:rsid w:val="00787BEB"/>
    <w:rsid w:val="00787D27"/>
    <w:rsid w:val="007909A5"/>
    <w:rsid w:val="00790AC4"/>
    <w:rsid w:val="00791559"/>
    <w:rsid w:val="00791833"/>
    <w:rsid w:val="0079208F"/>
    <w:rsid w:val="007928DD"/>
    <w:rsid w:val="00792D28"/>
    <w:rsid w:val="00793391"/>
    <w:rsid w:val="007934ED"/>
    <w:rsid w:val="00793A03"/>
    <w:rsid w:val="007953C8"/>
    <w:rsid w:val="0079673D"/>
    <w:rsid w:val="007967C5"/>
    <w:rsid w:val="00797573"/>
    <w:rsid w:val="00797622"/>
    <w:rsid w:val="007A1C6A"/>
    <w:rsid w:val="007A1D4E"/>
    <w:rsid w:val="007A2523"/>
    <w:rsid w:val="007A42F5"/>
    <w:rsid w:val="007A5338"/>
    <w:rsid w:val="007A55C4"/>
    <w:rsid w:val="007A56AC"/>
    <w:rsid w:val="007A69E1"/>
    <w:rsid w:val="007A74BE"/>
    <w:rsid w:val="007A7DD7"/>
    <w:rsid w:val="007B1032"/>
    <w:rsid w:val="007B2048"/>
    <w:rsid w:val="007B47D3"/>
    <w:rsid w:val="007B55C8"/>
    <w:rsid w:val="007B5697"/>
    <w:rsid w:val="007B5F5F"/>
    <w:rsid w:val="007B658E"/>
    <w:rsid w:val="007B6990"/>
    <w:rsid w:val="007B71B3"/>
    <w:rsid w:val="007B724E"/>
    <w:rsid w:val="007B727E"/>
    <w:rsid w:val="007B73A1"/>
    <w:rsid w:val="007B7608"/>
    <w:rsid w:val="007C10E8"/>
    <w:rsid w:val="007C15D1"/>
    <w:rsid w:val="007C22E7"/>
    <w:rsid w:val="007C42C1"/>
    <w:rsid w:val="007C5053"/>
    <w:rsid w:val="007C6D10"/>
    <w:rsid w:val="007C6E51"/>
    <w:rsid w:val="007C71CA"/>
    <w:rsid w:val="007C7609"/>
    <w:rsid w:val="007C7D6F"/>
    <w:rsid w:val="007D051A"/>
    <w:rsid w:val="007D16C6"/>
    <w:rsid w:val="007D329A"/>
    <w:rsid w:val="007D3E13"/>
    <w:rsid w:val="007D521E"/>
    <w:rsid w:val="007D57D9"/>
    <w:rsid w:val="007D5954"/>
    <w:rsid w:val="007D59C0"/>
    <w:rsid w:val="007D59C9"/>
    <w:rsid w:val="007D59F2"/>
    <w:rsid w:val="007D69C8"/>
    <w:rsid w:val="007D6B92"/>
    <w:rsid w:val="007D7BA9"/>
    <w:rsid w:val="007E051F"/>
    <w:rsid w:val="007E06EA"/>
    <w:rsid w:val="007E07DB"/>
    <w:rsid w:val="007E0CF1"/>
    <w:rsid w:val="007E16E5"/>
    <w:rsid w:val="007E19A6"/>
    <w:rsid w:val="007E19E9"/>
    <w:rsid w:val="007E2985"/>
    <w:rsid w:val="007E2AD0"/>
    <w:rsid w:val="007E2CF9"/>
    <w:rsid w:val="007E36B0"/>
    <w:rsid w:val="007E375A"/>
    <w:rsid w:val="007E3D4B"/>
    <w:rsid w:val="007E3D73"/>
    <w:rsid w:val="007E3F57"/>
    <w:rsid w:val="007E40EE"/>
    <w:rsid w:val="007E4AF8"/>
    <w:rsid w:val="007E4F51"/>
    <w:rsid w:val="007E5872"/>
    <w:rsid w:val="007E5889"/>
    <w:rsid w:val="007E5B4E"/>
    <w:rsid w:val="007E694C"/>
    <w:rsid w:val="007E7171"/>
    <w:rsid w:val="007F12FF"/>
    <w:rsid w:val="007F1526"/>
    <w:rsid w:val="007F17D1"/>
    <w:rsid w:val="007F1A74"/>
    <w:rsid w:val="007F27F2"/>
    <w:rsid w:val="007F2A51"/>
    <w:rsid w:val="007F2AD9"/>
    <w:rsid w:val="007F30EA"/>
    <w:rsid w:val="007F360E"/>
    <w:rsid w:val="007F3E00"/>
    <w:rsid w:val="007F4231"/>
    <w:rsid w:val="007F473A"/>
    <w:rsid w:val="007F4C8C"/>
    <w:rsid w:val="007F62CF"/>
    <w:rsid w:val="007F6922"/>
    <w:rsid w:val="007F6E06"/>
    <w:rsid w:val="007F7562"/>
    <w:rsid w:val="0080016F"/>
    <w:rsid w:val="00801064"/>
    <w:rsid w:val="00801C62"/>
    <w:rsid w:val="00801DBE"/>
    <w:rsid w:val="00802BF7"/>
    <w:rsid w:val="0080306D"/>
    <w:rsid w:val="00803778"/>
    <w:rsid w:val="00803CD7"/>
    <w:rsid w:val="0080462B"/>
    <w:rsid w:val="00804E32"/>
    <w:rsid w:val="00805BCE"/>
    <w:rsid w:val="00805C94"/>
    <w:rsid w:val="008060A1"/>
    <w:rsid w:val="0080720B"/>
    <w:rsid w:val="00807484"/>
    <w:rsid w:val="008078A9"/>
    <w:rsid w:val="00810747"/>
    <w:rsid w:val="00810DBF"/>
    <w:rsid w:val="0081135E"/>
    <w:rsid w:val="00812114"/>
    <w:rsid w:val="008122A0"/>
    <w:rsid w:val="008123A9"/>
    <w:rsid w:val="0081324A"/>
    <w:rsid w:val="008134B5"/>
    <w:rsid w:val="00814045"/>
    <w:rsid w:val="00814349"/>
    <w:rsid w:val="008145A3"/>
    <w:rsid w:val="008145DD"/>
    <w:rsid w:val="0081508A"/>
    <w:rsid w:val="00816079"/>
    <w:rsid w:val="008177C6"/>
    <w:rsid w:val="00817B01"/>
    <w:rsid w:val="0082015C"/>
    <w:rsid w:val="0082050D"/>
    <w:rsid w:val="008213AA"/>
    <w:rsid w:val="00821C4C"/>
    <w:rsid w:val="00823A11"/>
    <w:rsid w:val="0082411F"/>
    <w:rsid w:val="00824B95"/>
    <w:rsid w:val="00824C66"/>
    <w:rsid w:val="00824E09"/>
    <w:rsid w:val="008263F2"/>
    <w:rsid w:val="00826B73"/>
    <w:rsid w:val="00827AB2"/>
    <w:rsid w:val="008303F6"/>
    <w:rsid w:val="00830A76"/>
    <w:rsid w:val="00830EF1"/>
    <w:rsid w:val="00831041"/>
    <w:rsid w:val="008310EA"/>
    <w:rsid w:val="00831C65"/>
    <w:rsid w:val="00831D26"/>
    <w:rsid w:val="0083332F"/>
    <w:rsid w:val="008338F1"/>
    <w:rsid w:val="00833BE5"/>
    <w:rsid w:val="00833F28"/>
    <w:rsid w:val="008343EF"/>
    <w:rsid w:val="008346EA"/>
    <w:rsid w:val="00834C64"/>
    <w:rsid w:val="00834EE1"/>
    <w:rsid w:val="00835590"/>
    <w:rsid w:val="00835C6A"/>
    <w:rsid w:val="00836163"/>
    <w:rsid w:val="00837E9A"/>
    <w:rsid w:val="00837F11"/>
    <w:rsid w:val="00840F2D"/>
    <w:rsid w:val="008421DD"/>
    <w:rsid w:val="0084251B"/>
    <w:rsid w:val="00842607"/>
    <w:rsid w:val="00844345"/>
    <w:rsid w:val="008446F5"/>
    <w:rsid w:val="00844962"/>
    <w:rsid w:val="00845171"/>
    <w:rsid w:val="00845683"/>
    <w:rsid w:val="0084586E"/>
    <w:rsid w:val="0084597A"/>
    <w:rsid w:val="008465F0"/>
    <w:rsid w:val="008468B6"/>
    <w:rsid w:val="00846EC7"/>
    <w:rsid w:val="008473E4"/>
    <w:rsid w:val="0085219D"/>
    <w:rsid w:val="00852497"/>
    <w:rsid w:val="00852D2C"/>
    <w:rsid w:val="00853818"/>
    <w:rsid w:val="00853F2C"/>
    <w:rsid w:val="008546C8"/>
    <w:rsid w:val="00854E1E"/>
    <w:rsid w:val="0085744E"/>
    <w:rsid w:val="00860DDF"/>
    <w:rsid w:val="00861135"/>
    <w:rsid w:val="0086172F"/>
    <w:rsid w:val="00861EA4"/>
    <w:rsid w:val="008625C9"/>
    <w:rsid w:val="00864296"/>
    <w:rsid w:val="00864874"/>
    <w:rsid w:val="0086499C"/>
    <w:rsid w:val="00864D16"/>
    <w:rsid w:val="00864EF0"/>
    <w:rsid w:val="0086570D"/>
    <w:rsid w:val="00865993"/>
    <w:rsid w:val="00865D0F"/>
    <w:rsid w:val="0086785A"/>
    <w:rsid w:val="00867BC6"/>
    <w:rsid w:val="00867CE4"/>
    <w:rsid w:val="00867D13"/>
    <w:rsid w:val="00867D73"/>
    <w:rsid w:val="0087004D"/>
    <w:rsid w:val="00870214"/>
    <w:rsid w:val="008703CC"/>
    <w:rsid w:val="00870A00"/>
    <w:rsid w:val="008715CD"/>
    <w:rsid w:val="008717E0"/>
    <w:rsid w:val="008719A5"/>
    <w:rsid w:val="008725EE"/>
    <w:rsid w:val="00872DD7"/>
    <w:rsid w:val="00873815"/>
    <w:rsid w:val="00873FA6"/>
    <w:rsid w:val="008740BF"/>
    <w:rsid w:val="00876557"/>
    <w:rsid w:val="0087677C"/>
    <w:rsid w:val="008800BD"/>
    <w:rsid w:val="008802B7"/>
    <w:rsid w:val="00880E76"/>
    <w:rsid w:val="00881290"/>
    <w:rsid w:val="00881B2F"/>
    <w:rsid w:val="00881B71"/>
    <w:rsid w:val="00882165"/>
    <w:rsid w:val="0088292D"/>
    <w:rsid w:val="00882E2A"/>
    <w:rsid w:val="00884822"/>
    <w:rsid w:val="008857B7"/>
    <w:rsid w:val="008862EE"/>
    <w:rsid w:val="0088791E"/>
    <w:rsid w:val="00890263"/>
    <w:rsid w:val="008908C9"/>
    <w:rsid w:val="008920BD"/>
    <w:rsid w:val="00892153"/>
    <w:rsid w:val="00893404"/>
    <w:rsid w:val="008939DB"/>
    <w:rsid w:val="008943C4"/>
    <w:rsid w:val="00894DB9"/>
    <w:rsid w:val="0089506E"/>
    <w:rsid w:val="00895538"/>
    <w:rsid w:val="008956F3"/>
    <w:rsid w:val="0089594C"/>
    <w:rsid w:val="0089732D"/>
    <w:rsid w:val="0089760C"/>
    <w:rsid w:val="008977FC"/>
    <w:rsid w:val="00897F3B"/>
    <w:rsid w:val="008A0667"/>
    <w:rsid w:val="008A0727"/>
    <w:rsid w:val="008A0940"/>
    <w:rsid w:val="008A17BE"/>
    <w:rsid w:val="008A17C5"/>
    <w:rsid w:val="008A19B9"/>
    <w:rsid w:val="008A27F2"/>
    <w:rsid w:val="008A2A6C"/>
    <w:rsid w:val="008A2A93"/>
    <w:rsid w:val="008A45F2"/>
    <w:rsid w:val="008A4B37"/>
    <w:rsid w:val="008A6607"/>
    <w:rsid w:val="008A6620"/>
    <w:rsid w:val="008A67A7"/>
    <w:rsid w:val="008A6B90"/>
    <w:rsid w:val="008A7EC1"/>
    <w:rsid w:val="008A7FF5"/>
    <w:rsid w:val="008B0A37"/>
    <w:rsid w:val="008B0B77"/>
    <w:rsid w:val="008B0F45"/>
    <w:rsid w:val="008B10A3"/>
    <w:rsid w:val="008B2535"/>
    <w:rsid w:val="008B26A7"/>
    <w:rsid w:val="008B3D29"/>
    <w:rsid w:val="008B3E1B"/>
    <w:rsid w:val="008B5756"/>
    <w:rsid w:val="008B5A2F"/>
    <w:rsid w:val="008B6856"/>
    <w:rsid w:val="008B769A"/>
    <w:rsid w:val="008B7873"/>
    <w:rsid w:val="008C0CD2"/>
    <w:rsid w:val="008C0D0D"/>
    <w:rsid w:val="008C19DB"/>
    <w:rsid w:val="008C1F19"/>
    <w:rsid w:val="008C1F4B"/>
    <w:rsid w:val="008C1F5F"/>
    <w:rsid w:val="008C2509"/>
    <w:rsid w:val="008C2659"/>
    <w:rsid w:val="008C28A9"/>
    <w:rsid w:val="008C2929"/>
    <w:rsid w:val="008C29E4"/>
    <w:rsid w:val="008C2D57"/>
    <w:rsid w:val="008C307C"/>
    <w:rsid w:val="008C3336"/>
    <w:rsid w:val="008C350B"/>
    <w:rsid w:val="008C49E2"/>
    <w:rsid w:val="008C4EDA"/>
    <w:rsid w:val="008C5CAF"/>
    <w:rsid w:val="008C677A"/>
    <w:rsid w:val="008C6D20"/>
    <w:rsid w:val="008D047A"/>
    <w:rsid w:val="008D080C"/>
    <w:rsid w:val="008D0B5B"/>
    <w:rsid w:val="008D118E"/>
    <w:rsid w:val="008D2475"/>
    <w:rsid w:val="008D2A7D"/>
    <w:rsid w:val="008D2B7D"/>
    <w:rsid w:val="008D2D24"/>
    <w:rsid w:val="008D3007"/>
    <w:rsid w:val="008D31E6"/>
    <w:rsid w:val="008D3806"/>
    <w:rsid w:val="008D3F70"/>
    <w:rsid w:val="008D4B4E"/>
    <w:rsid w:val="008D53CB"/>
    <w:rsid w:val="008D5739"/>
    <w:rsid w:val="008D5D50"/>
    <w:rsid w:val="008D6086"/>
    <w:rsid w:val="008D6AEC"/>
    <w:rsid w:val="008D6CEE"/>
    <w:rsid w:val="008E03A9"/>
    <w:rsid w:val="008E051A"/>
    <w:rsid w:val="008E0899"/>
    <w:rsid w:val="008E0AAD"/>
    <w:rsid w:val="008E14C9"/>
    <w:rsid w:val="008E1714"/>
    <w:rsid w:val="008E1A05"/>
    <w:rsid w:val="008E232F"/>
    <w:rsid w:val="008E23EA"/>
    <w:rsid w:val="008E290D"/>
    <w:rsid w:val="008E3B77"/>
    <w:rsid w:val="008E3C92"/>
    <w:rsid w:val="008E3CC9"/>
    <w:rsid w:val="008E4978"/>
    <w:rsid w:val="008E4B5F"/>
    <w:rsid w:val="008E4BCA"/>
    <w:rsid w:val="008E4F7E"/>
    <w:rsid w:val="008E5399"/>
    <w:rsid w:val="008E6956"/>
    <w:rsid w:val="008E6D31"/>
    <w:rsid w:val="008E723C"/>
    <w:rsid w:val="008E73E4"/>
    <w:rsid w:val="008E7503"/>
    <w:rsid w:val="008E7E66"/>
    <w:rsid w:val="008F0549"/>
    <w:rsid w:val="008F1919"/>
    <w:rsid w:val="008F26B4"/>
    <w:rsid w:val="008F2B26"/>
    <w:rsid w:val="008F2EF1"/>
    <w:rsid w:val="008F3169"/>
    <w:rsid w:val="008F37F3"/>
    <w:rsid w:val="008F50C1"/>
    <w:rsid w:val="008F744E"/>
    <w:rsid w:val="008F7E45"/>
    <w:rsid w:val="008F7FD8"/>
    <w:rsid w:val="009003F9"/>
    <w:rsid w:val="009006D6"/>
    <w:rsid w:val="00900C0C"/>
    <w:rsid w:val="0090123D"/>
    <w:rsid w:val="009024DD"/>
    <w:rsid w:val="00906DA2"/>
    <w:rsid w:val="00906DB6"/>
    <w:rsid w:val="009073F4"/>
    <w:rsid w:val="00907A00"/>
    <w:rsid w:val="0091029D"/>
    <w:rsid w:val="0091073A"/>
    <w:rsid w:val="00910879"/>
    <w:rsid w:val="00911360"/>
    <w:rsid w:val="00911B91"/>
    <w:rsid w:val="0091214B"/>
    <w:rsid w:val="00912521"/>
    <w:rsid w:val="009128A3"/>
    <w:rsid w:val="0091646A"/>
    <w:rsid w:val="00920056"/>
    <w:rsid w:val="009206C4"/>
    <w:rsid w:val="009207FE"/>
    <w:rsid w:val="00921438"/>
    <w:rsid w:val="00922885"/>
    <w:rsid w:val="009232A6"/>
    <w:rsid w:val="0092346E"/>
    <w:rsid w:val="00923FF1"/>
    <w:rsid w:val="009249A3"/>
    <w:rsid w:val="00924FD2"/>
    <w:rsid w:val="00925104"/>
    <w:rsid w:val="0092562A"/>
    <w:rsid w:val="00925769"/>
    <w:rsid w:val="0092604A"/>
    <w:rsid w:val="00926B51"/>
    <w:rsid w:val="009300AA"/>
    <w:rsid w:val="00930BE0"/>
    <w:rsid w:val="00930D39"/>
    <w:rsid w:val="00931527"/>
    <w:rsid w:val="00931547"/>
    <w:rsid w:val="00931979"/>
    <w:rsid w:val="00931B7E"/>
    <w:rsid w:val="00932741"/>
    <w:rsid w:val="0093292E"/>
    <w:rsid w:val="00932DB2"/>
    <w:rsid w:val="00933303"/>
    <w:rsid w:val="009337AC"/>
    <w:rsid w:val="0093393D"/>
    <w:rsid w:val="00934249"/>
    <w:rsid w:val="0093465B"/>
    <w:rsid w:val="009356DE"/>
    <w:rsid w:val="00935A3E"/>
    <w:rsid w:val="009364B3"/>
    <w:rsid w:val="00936AC0"/>
    <w:rsid w:val="009404A3"/>
    <w:rsid w:val="00940A90"/>
    <w:rsid w:val="00941561"/>
    <w:rsid w:val="00942134"/>
    <w:rsid w:val="00942168"/>
    <w:rsid w:val="0094289B"/>
    <w:rsid w:val="009435EC"/>
    <w:rsid w:val="00943C5B"/>
    <w:rsid w:val="00943D1A"/>
    <w:rsid w:val="00943D76"/>
    <w:rsid w:val="009445B6"/>
    <w:rsid w:val="009446B4"/>
    <w:rsid w:val="00944779"/>
    <w:rsid w:val="00945CD2"/>
    <w:rsid w:val="00945EB7"/>
    <w:rsid w:val="0094658C"/>
    <w:rsid w:val="0094698A"/>
    <w:rsid w:val="00947363"/>
    <w:rsid w:val="009507FC"/>
    <w:rsid w:val="00951261"/>
    <w:rsid w:val="0095166B"/>
    <w:rsid w:val="009518F4"/>
    <w:rsid w:val="00952061"/>
    <w:rsid w:val="0095276B"/>
    <w:rsid w:val="00952E05"/>
    <w:rsid w:val="00952E11"/>
    <w:rsid w:val="00953333"/>
    <w:rsid w:val="00953529"/>
    <w:rsid w:val="00953555"/>
    <w:rsid w:val="00953A35"/>
    <w:rsid w:val="00954A17"/>
    <w:rsid w:val="00955003"/>
    <w:rsid w:val="009555B2"/>
    <w:rsid w:val="00955D69"/>
    <w:rsid w:val="00956500"/>
    <w:rsid w:val="00957A29"/>
    <w:rsid w:val="00957E54"/>
    <w:rsid w:val="00957E5D"/>
    <w:rsid w:val="00960535"/>
    <w:rsid w:val="00961EB2"/>
    <w:rsid w:val="009620C5"/>
    <w:rsid w:val="0096332D"/>
    <w:rsid w:val="00963F9E"/>
    <w:rsid w:val="00964240"/>
    <w:rsid w:val="0096446E"/>
    <w:rsid w:val="00964840"/>
    <w:rsid w:val="00964BBF"/>
    <w:rsid w:val="0096530D"/>
    <w:rsid w:val="00965DE7"/>
    <w:rsid w:val="00965F68"/>
    <w:rsid w:val="009660AC"/>
    <w:rsid w:val="0096705F"/>
    <w:rsid w:val="00967367"/>
    <w:rsid w:val="00967408"/>
    <w:rsid w:val="00967F08"/>
    <w:rsid w:val="00970009"/>
    <w:rsid w:val="00970331"/>
    <w:rsid w:val="0097097C"/>
    <w:rsid w:val="00970BDD"/>
    <w:rsid w:val="00971624"/>
    <w:rsid w:val="00971719"/>
    <w:rsid w:val="00971763"/>
    <w:rsid w:val="009719C6"/>
    <w:rsid w:val="0097248E"/>
    <w:rsid w:val="009729DD"/>
    <w:rsid w:val="00973919"/>
    <w:rsid w:val="00973EB7"/>
    <w:rsid w:val="00974F0C"/>
    <w:rsid w:val="00975319"/>
    <w:rsid w:val="0097651A"/>
    <w:rsid w:val="009768C6"/>
    <w:rsid w:val="00976E1A"/>
    <w:rsid w:val="009773C9"/>
    <w:rsid w:val="00977A1C"/>
    <w:rsid w:val="00977AB7"/>
    <w:rsid w:val="00980554"/>
    <w:rsid w:val="00980559"/>
    <w:rsid w:val="00980B72"/>
    <w:rsid w:val="0098114A"/>
    <w:rsid w:val="009820AF"/>
    <w:rsid w:val="00982504"/>
    <w:rsid w:val="00982DA1"/>
    <w:rsid w:val="00983248"/>
    <w:rsid w:val="009832DC"/>
    <w:rsid w:val="0098371A"/>
    <w:rsid w:val="00983A78"/>
    <w:rsid w:val="009840C0"/>
    <w:rsid w:val="00984322"/>
    <w:rsid w:val="009848DE"/>
    <w:rsid w:val="00986098"/>
    <w:rsid w:val="0098621E"/>
    <w:rsid w:val="00986864"/>
    <w:rsid w:val="00986BE0"/>
    <w:rsid w:val="009877F1"/>
    <w:rsid w:val="00987E1F"/>
    <w:rsid w:val="00990D01"/>
    <w:rsid w:val="00990D3A"/>
    <w:rsid w:val="00990EE2"/>
    <w:rsid w:val="00991452"/>
    <w:rsid w:val="00991BF6"/>
    <w:rsid w:val="0099361C"/>
    <w:rsid w:val="00993A40"/>
    <w:rsid w:val="00993D33"/>
    <w:rsid w:val="00993E4A"/>
    <w:rsid w:val="00993EF6"/>
    <w:rsid w:val="0099409A"/>
    <w:rsid w:val="00994E74"/>
    <w:rsid w:val="009966AB"/>
    <w:rsid w:val="009A083C"/>
    <w:rsid w:val="009A144F"/>
    <w:rsid w:val="009A1F4F"/>
    <w:rsid w:val="009A2713"/>
    <w:rsid w:val="009A2C7E"/>
    <w:rsid w:val="009A2F78"/>
    <w:rsid w:val="009A370B"/>
    <w:rsid w:val="009A3D84"/>
    <w:rsid w:val="009A4954"/>
    <w:rsid w:val="009A5206"/>
    <w:rsid w:val="009A5287"/>
    <w:rsid w:val="009A5A0E"/>
    <w:rsid w:val="009A5B03"/>
    <w:rsid w:val="009A670D"/>
    <w:rsid w:val="009A757C"/>
    <w:rsid w:val="009A7701"/>
    <w:rsid w:val="009A78D4"/>
    <w:rsid w:val="009A7ABE"/>
    <w:rsid w:val="009B064D"/>
    <w:rsid w:val="009B0FBD"/>
    <w:rsid w:val="009B1397"/>
    <w:rsid w:val="009B1430"/>
    <w:rsid w:val="009B14A2"/>
    <w:rsid w:val="009B21E5"/>
    <w:rsid w:val="009B225A"/>
    <w:rsid w:val="009B227B"/>
    <w:rsid w:val="009B235C"/>
    <w:rsid w:val="009B25D0"/>
    <w:rsid w:val="009B268E"/>
    <w:rsid w:val="009B347C"/>
    <w:rsid w:val="009B3540"/>
    <w:rsid w:val="009B3B6E"/>
    <w:rsid w:val="009B43B2"/>
    <w:rsid w:val="009B44AB"/>
    <w:rsid w:val="009B48F4"/>
    <w:rsid w:val="009B4B32"/>
    <w:rsid w:val="009B5534"/>
    <w:rsid w:val="009B7099"/>
    <w:rsid w:val="009C00D2"/>
    <w:rsid w:val="009C016A"/>
    <w:rsid w:val="009C01E9"/>
    <w:rsid w:val="009C0266"/>
    <w:rsid w:val="009C0344"/>
    <w:rsid w:val="009C0365"/>
    <w:rsid w:val="009C058E"/>
    <w:rsid w:val="009C0B48"/>
    <w:rsid w:val="009C1135"/>
    <w:rsid w:val="009C27D3"/>
    <w:rsid w:val="009C3064"/>
    <w:rsid w:val="009C33A3"/>
    <w:rsid w:val="009C4263"/>
    <w:rsid w:val="009C46F8"/>
    <w:rsid w:val="009C4885"/>
    <w:rsid w:val="009C48D5"/>
    <w:rsid w:val="009C5438"/>
    <w:rsid w:val="009C665D"/>
    <w:rsid w:val="009C6B5A"/>
    <w:rsid w:val="009C7274"/>
    <w:rsid w:val="009C76BC"/>
    <w:rsid w:val="009C79FA"/>
    <w:rsid w:val="009C7BFA"/>
    <w:rsid w:val="009C7E16"/>
    <w:rsid w:val="009D01DD"/>
    <w:rsid w:val="009D0DAF"/>
    <w:rsid w:val="009D11B3"/>
    <w:rsid w:val="009D13E5"/>
    <w:rsid w:val="009D1828"/>
    <w:rsid w:val="009D1D76"/>
    <w:rsid w:val="009D21FE"/>
    <w:rsid w:val="009D246B"/>
    <w:rsid w:val="009D2787"/>
    <w:rsid w:val="009D2B29"/>
    <w:rsid w:val="009D3777"/>
    <w:rsid w:val="009D4041"/>
    <w:rsid w:val="009D4496"/>
    <w:rsid w:val="009D4706"/>
    <w:rsid w:val="009D5092"/>
    <w:rsid w:val="009D615A"/>
    <w:rsid w:val="009D65EF"/>
    <w:rsid w:val="009D665E"/>
    <w:rsid w:val="009D7116"/>
    <w:rsid w:val="009D716D"/>
    <w:rsid w:val="009D7596"/>
    <w:rsid w:val="009E0460"/>
    <w:rsid w:val="009E0D21"/>
    <w:rsid w:val="009E149D"/>
    <w:rsid w:val="009E1A8E"/>
    <w:rsid w:val="009E219E"/>
    <w:rsid w:val="009E248A"/>
    <w:rsid w:val="009E2BC0"/>
    <w:rsid w:val="009E2D0B"/>
    <w:rsid w:val="009E2EA2"/>
    <w:rsid w:val="009E3419"/>
    <w:rsid w:val="009E3F63"/>
    <w:rsid w:val="009E4719"/>
    <w:rsid w:val="009E51E9"/>
    <w:rsid w:val="009E52B3"/>
    <w:rsid w:val="009E560A"/>
    <w:rsid w:val="009E5920"/>
    <w:rsid w:val="009E6553"/>
    <w:rsid w:val="009E6F06"/>
    <w:rsid w:val="009E7348"/>
    <w:rsid w:val="009F0BA1"/>
    <w:rsid w:val="009F0C6B"/>
    <w:rsid w:val="009F139F"/>
    <w:rsid w:val="009F190F"/>
    <w:rsid w:val="009F1F1B"/>
    <w:rsid w:val="009F2537"/>
    <w:rsid w:val="009F28C7"/>
    <w:rsid w:val="009F37AF"/>
    <w:rsid w:val="009F3863"/>
    <w:rsid w:val="009F5E66"/>
    <w:rsid w:val="009F6066"/>
    <w:rsid w:val="009F61C7"/>
    <w:rsid w:val="009F6867"/>
    <w:rsid w:val="009F7F58"/>
    <w:rsid w:val="00A00BF7"/>
    <w:rsid w:val="00A010A7"/>
    <w:rsid w:val="00A02596"/>
    <w:rsid w:val="00A037E2"/>
    <w:rsid w:val="00A044AD"/>
    <w:rsid w:val="00A04D4D"/>
    <w:rsid w:val="00A05506"/>
    <w:rsid w:val="00A05B0B"/>
    <w:rsid w:val="00A05C28"/>
    <w:rsid w:val="00A0688C"/>
    <w:rsid w:val="00A07CED"/>
    <w:rsid w:val="00A10499"/>
    <w:rsid w:val="00A1198A"/>
    <w:rsid w:val="00A12E40"/>
    <w:rsid w:val="00A13BA1"/>
    <w:rsid w:val="00A141BD"/>
    <w:rsid w:val="00A1473C"/>
    <w:rsid w:val="00A14905"/>
    <w:rsid w:val="00A14D07"/>
    <w:rsid w:val="00A14E6C"/>
    <w:rsid w:val="00A1573D"/>
    <w:rsid w:val="00A15865"/>
    <w:rsid w:val="00A158EC"/>
    <w:rsid w:val="00A161E2"/>
    <w:rsid w:val="00A16312"/>
    <w:rsid w:val="00A163FA"/>
    <w:rsid w:val="00A16771"/>
    <w:rsid w:val="00A17A10"/>
    <w:rsid w:val="00A20D7A"/>
    <w:rsid w:val="00A215CB"/>
    <w:rsid w:val="00A21972"/>
    <w:rsid w:val="00A228C8"/>
    <w:rsid w:val="00A22B60"/>
    <w:rsid w:val="00A237D9"/>
    <w:rsid w:val="00A23A5B"/>
    <w:rsid w:val="00A2408E"/>
    <w:rsid w:val="00A246B1"/>
    <w:rsid w:val="00A24BE2"/>
    <w:rsid w:val="00A2568B"/>
    <w:rsid w:val="00A26585"/>
    <w:rsid w:val="00A26DA0"/>
    <w:rsid w:val="00A27277"/>
    <w:rsid w:val="00A272A7"/>
    <w:rsid w:val="00A2793D"/>
    <w:rsid w:val="00A279CE"/>
    <w:rsid w:val="00A30443"/>
    <w:rsid w:val="00A30C5B"/>
    <w:rsid w:val="00A30EE8"/>
    <w:rsid w:val="00A31EBF"/>
    <w:rsid w:val="00A320E8"/>
    <w:rsid w:val="00A32329"/>
    <w:rsid w:val="00A32440"/>
    <w:rsid w:val="00A32C09"/>
    <w:rsid w:val="00A33520"/>
    <w:rsid w:val="00A337AC"/>
    <w:rsid w:val="00A34CD9"/>
    <w:rsid w:val="00A35D0A"/>
    <w:rsid w:val="00A3606E"/>
    <w:rsid w:val="00A3686C"/>
    <w:rsid w:val="00A368AC"/>
    <w:rsid w:val="00A3753E"/>
    <w:rsid w:val="00A40903"/>
    <w:rsid w:val="00A40B61"/>
    <w:rsid w:val="00A41381"/>
    <w:rsid w:val="00A4217E"/>
    <w:rsid w:val="00A42977"/>
    <w:rsid w:val="00A42A19"/>
    <w:rsid w:val="00A42B29"/>
    <w:rsid w:val="00A43D59"/>
    <w:rsid w:val="00A44A01"/>
    <w:rsid w:val="00A44CFA"/>
    <w:rsid w:val="00A451A2"/>
    <w:rsid w:val="00A455E4"/>
    <w:rsid w:val="00A45760"/>
    <w:rsid w:val="00A457D1"/>
    <w:rsid w:val="00A46F6D"/>
    <w:rsid w:val="00A46FFA"/>
    <w:rsid w:val="00A47B05"/>
    <w:rsid w:val="00A47EA4"/>
    <w:rsid w:val="00A51348"/>
    <w:rsid w:val="00A516B8"/>
    <w:rsid w:val="00A51A13"/>
    <w:rsid w:val="00A51E51"/>
    <w:rsid w:val="00A52717"/>
    <w:rsid w:val="00A547B3"/>
    <w:rsid w:val="00A54B6B"/>
    <w:rsid w:val="00A55044"/>
    <w:rsid w:val="00A55AF8"/>
    <w:rsid w:val="00A5628E"/>
    <w:rsid w:val="00A6002D"/>
    <w:rsid w:val="00A60B1A"/>
    <w:rsid w:val="00A60E14"/>
    <w:rsid w:val="00A61A2B"/>
    <w:rsid w:val="00A6211F"/>
    <w:rsid w:val="00A62989"/>
    <w:rsid w:val="00A62BB2"/>
    <w:rsid w:val="00A63094"/>
    <w:rsid w:val="00A6309D"/>
    <w:rsid w:val="00A63AB2"/>
    <w:rsid w:val="00A63C38"/>
    <w:rsid w:val="00A6462D"/>
    <w:rsid w:val="00A647E4"/>
    <w:rsid w:val="00A648A0"/>
    <w:rsid w:val="00A64F1A"/>
    <w:rsid w:val="00A6554F"/>
    <w:rsid w:val="00A65689"/>
    <w:rsid w:val="00A65B67"/>
    <w:rsid w:val="00A65C5B"/>
    <w:rsid w:val="00A65D97"/>
    <w:rsid w:val="00A677D1"/>
    <w:rsid w:val="00A67A2C"/>
    <w:rsid w:val="00A7015B"/>
    <w:rsid w:val="00A703D8"/>
    <w:rsid w:val="00A704C2"/>
    <w:rsid w:val="00A705C4"/>
    <w:rsid w:val="00A70AE6"/>
    <w:rsid w:val="00A70B12"/>
    <w:rsid w:val="00A71C29"/>
    <w:rsid w:val="00A71D1D"/>
    <w:rsid w:val="00A71D5A"/>
    <w:rsid w:val="00A71F39"/>
    <w:rsid w:val="00A7257B"/>
    <w:rsid w:val="00A73A1B"/>
    <w:rsid w:val="00A73D14"/>
    <w:rsid w:val="00A73F7E"/>
    <w:rsid w:val="00A746FD"/>
    <w:rsid w:val="00A7514B"/>
    <w:rsid w:val="00A7585A"/>
    <w:rsid w:val="00A7595C"/>
    <w:rsid w:val="00A75B80"/>
    <w:rsid w:val="00A75E13"/>
    <w:rsid w:val="00A76776"/>
    <w:rsid w:val="00A769E9"/>
    <w:rsid w:val="00A770F0"/>
    <w:rsid w:val="00A778B6"/>
    <w:rsid w:val="00A779D7"/>
    <w:rsid w:val="00A77B2E"/>
    <w:rsid w:val="00A8038B"/>
    <w:rsid w:val="00A8218D"/>
    <w:rsid w:val="00A82495"/>
    <w:rsid w:val="00A82567"/>
    <w:rsid w:val="00A826AE"/>
    <w:rsid w:val="00A82DC0"/>
    <w:rsid w:val="00A8424F"/>
    <w:rsid w:val="00A85731"/>
    <w:rsid w:val="00A8653B"/>
    <w:rsid w:val="00A8679F"/>
    <w:rsid w:val="00A86F0E"/>
    <w:rsid w:val="00A87838"/>
    <w:rsid w:val="00A878F9"/>
    <w:rsid w:val="00A8797E"/>
    <w:rsid w:val="00A90568"/>
    <w:rsid w:val="00A91763"/>
    <w:rsid w:val="00A91B04"/>
    <w:rsid w:val="00A934FE"/>
    <w:rsid w:val="00A935BE"/>
    <w:rsid w:val="00A94064"/>
    <w:rsid w:val="00A94789"/>
    <w:rsid w:val="00A949EF"/>
    <w:rsid w:val="00A95EFD"/>
    <w:rsid w:val="00A95F86"/>
    <w:rsid w:val="00A9679B"/>
    <w:rsid w:val="00A96887"/>
    <w:rsid w:val="00A978FE"/>
    <w:rsid w:val="00A97EF3"/>
    <w:rsid w:val="00AA057F"/>
    <w:rsid w:val="00AA11F7"/>
    <w:rsid w:val="00AA1C4B"/>
    <w:rsid w:val="00AA1F6F"/>
    <w:rsid w:val="00AA2106"/>
    <w:rsid w:val="00AA252D"/>
    <w:rsid w:val="00AA2855"/>
    <w:rsid w:val="00AA318A"/>
    <w:rsid w:val="00AA3C73"/>
    <w:rsid w:val="00AA4346"/>
    <w:rsid w:val="00AA4724"/>
    <w:rsid w:val="00AA5403"/>
    <w:rsid w:val="00AA60F4"/>
    <w:rsid w:val="00AA670E"/>
    <w:rsid w:val="00AA676A"/>
    <w:rsid w:val="00AA7BCB"/>
    <w:rsid w:val="00AB08D7"/>
    <w:rsid w:val="00AB2548"/>
    <w:rsid w:val="00AB3662"/>
    <w:rsid w:val="00AB36A1"/>
    <w:rsid w:val="00AB3E65"/>
    <w:rsid w:val="00AB40B1"/>
    <w:rsid w:val="00AB5BB2"/>
    <w:rsid w:val="00AB5E30"/>
    <w:rsid w:val="00AB6B5C"/>
    <w:rsid w:val="00AB6F6D"/>
    <w:rsid w:val="00AC001C"/>
    <w:rsid w:val="00AC02FA"/>
    <w:rsid w:val="00AC0F50"/>
    <w:rsid w:val="00AC1415"/>
    <w:rsid w:val="00AC1933"/>
    <w:rsid w:val="00AC2338"/>
    <w:rsid w:val="00AC277F"/>
    <w:rsid w:val="00AC5D35"/>
    <w:rsid w:val="00AC5FD3"/>
    <w:rsid w:val="00AC6A9B"/>
    <w:rsid w:val="00AC6ED0"/>
    <w:rsid w:val="00AC79FC"/>
    <w:rsid w:val="00AD03B8"/>
    <w:rsid w:val="00AD04E2"/>
    <w:rsid w:val="00AD1047"/>
    <w:rsid w:val="00AD1B5F"/>
    <w:rsid w:val="00AD1FD7"/>
    <w:rsid w:val="00AD28F7"/>
    <w:rsid w:val="00AD2CD6"/>
    <w:rsid w:val="00AD2D7F"/>
    <w:rsid w:val="00AD304C"/>
    <w:rsid w:val="00AD3168"/>
    <w:rsid w:val="00AD3322"/>
    <w:rsid w:val="00AD3CD9"/>
    <w:rsid w:val="00AD3DEB"/>
    <w:rsid w:val="00AD4311"/>
    <w:rsid w:val="00AD4B66"/>
    <w:rsid w:val="00AD4D57"/>
    <w:rsid w:val="00AD5316"/>
    <w:rsid w:val="00AD57A8"/>
    <w:rsid w:val="00AD5953"/>
    <w:rsid w:val="00AD5CEB"/>
    <w:rsid w:val="00AD5F11"/>
    <w:rsid w:val="00AD65F8"/>
    <w:rsid w:val="00AD7026"/>
    <w:rsid w:val="00AD7B85"/>
    <w:rsid w:val="00AD7B8D"/>
    <w:rsid w:val="00AD7B9F"/>
    <w:rsid w:val="00AE0775"/>
    <w:rsid w:val="00AE0C14"/>
    <w:rsid w:val="00AE1158"/>
    <w:rsid w:val="00AE11DB"/>
    <w:rsid w:val="00AE11FA"/>
    <w:rsid w:val="00AE14B1"/>
    <w:rsid w:val="00AE1838"/>
    <w:rsid w:val="00AE1DAD"/>
    <w:rsid w:val="00AE2D1D"/>
    <w:rsid w:val="00AE3C87"/>
    <w:rsid w:val="00AE4ABE"/>
    <w:rsid w:val="00AE4C55"/>
    <w:rsid w:val="00AE4D23"/>
    <w:rsid w:val="00AE5749"/>
    <w:rsid w:val="00AE599C"/>
    <w:rsid w:val="00AE5BE7"/>
    <w:rsid w:val="00AE6FD4"/>
    <w:rsid w:val="00AE6FDF"/>
    <w:rsid w:val="00AE74DF"/>
    <w:rsid w:val="00AE752E"/>
    <w:rsid w:val="00AE76C0"/>
    <w:rsid w:val="00AF1C1D"/>
    <w:rsid w:val="00AF1E3A"/>
    <w:rsid w:val="00AF1F43"/>
    <w:rsid w:val="00AF28CA"/>
    <w:rsid w:val="00AF3062"/>
    <w:rsid w:val="00AF3D25"/>
    <w:rsid w:val="00AF47FB"/>
    <w:rsid w:val="00AF533B"/>
    <w:rsid w:val="00AF5F7A"/>
    <w:rsid w:val="00AF6A4A"/>
    <w:rsid w:val="00AF7AB9"/>
    <w:rsid w:val="00AF7FD7"/>
    <w:rsid w:val="00B000D1"/>
    <w:rsid w:val="00B004A4"/>
    <w:rsid w:val="00B008AC"/>
    <w:rsid w:val="00B00B91"/>
    <w:rsid w:val="00B00DA6"/>
    <w:rsid w:val="00B00E8D"/>
    <w:rsid w:val="00B01269"/>
    <w:rsid w:val="00B0144E"/>
    <w:rsid w:val="00B01604"/>
    <w:rsid w:val="00B01B58"/>
    <w:rsid w:val="00B0257E"/>
    <w:rsid w:val="00B03701"/>
    <w:rsid w:val="00B0441A"/>
    <w:rsid w:val="00B04DFB"/>
    <w:rsid w:val="00B05733"/>
    <w:rsid w:val="00B05F55"/>
    <w:rsid w:val="00B06077"/>
    <w:rsid w:val="00B0680D"/>
    <w:rsid w:val="00B11A35"/>
    <w:rsid w:val="00B11F80"/>
    <w:rsid w:val="00B12E28"/>
    <w:rsid w:val="00B12F30"/>
    <w:rsid w:val="00B149D2"/>
    <w:rsid w:val="00B15095"/>
    <w:rsid w:val="00B15554"/>
    <w:rsid w:val="00B15AA6"/>
    <w:rsid w:val="00B15FB4"/>
    <w:rsid w:val="00B16C3E"/>
    <w:rsid w:val="00B16D88"/>
    <w:rsid w:val="00B16E6E"/>
    <w:rsid w:val="00B1709C"/>
    <w:rsid w:val="00B177EB"/>
    <w:rsid w:val="00B17A38"/>
    <w:rsid w:val="00B202A1"/>
    <w:rsid w:val="00B2135B"/>
    <w:rsid w:val="00B213F2"/>
    <w:rsid w:val="00B21904"/>
    <w:rsid w:val="00B21935"/>
    <w:rsid w:val="00B21D08"/>
    <w:rsid w:val="00B22C00"/>
    <w:rsid w:val="00B23C36"/>
    <w:rsid w:val="00B2433C"/>
    <w:rsid w:val="00B2436B"/>
    <w:rsid w:val="00B246D4"/>
    <w:rsid w:val="00B26540"/>
    <w:rsid w:val="00B269AD"/>
    <w:rsid w:val="00B26D2C"/>
    <w:rsid w:val="00B27233"/>
    <w:rsid w:val="00B308CF"/>
    <w:rsid w:val="00B30AC9"/>
    <w:rsid w:val="00B30C90"/>
    <w:rsid w:val="00B31095"/>
    <w:rsid w:val="00B316A1"/>
    <w:rsid w:val="00B34CAE"/>
    <w:rsid w:val="00B34F72"/>
    <w:rsid w:val="00B35182"/>
    <w:rsid w:val="00B35B06"/>
    <w:rsid w:val="00B36966"/>
    <w:rsid w:val="00B3776C"/>
    <w:rsid w:val="00B37969"/>
    <w:rsid w:val="00B40A91"/>
    <w:rsid w:val="00B40FEB"/>
    <w:rsid w:val="00B41434"/>
    <w:rsid w:val="00B417AC"/>
    <w:rsid w:val="00B41DA9"/>
    <w:rsid w:val="00B4269D"/>
    <w:rsid w:val="00B4280D"/>
    <w:rsid w:val="00B42B0A"/>
    <w:rsid w:val="00B433D5"/>
    <w:rsid w:val="00B43659"/>
    <w:rsid w:val="00B438D1"/>
    <w:rsid w:val="00B4398B"/>
    <w:rsid w:val="00B439BF"/>
    <w:rsid w:val="00B43FF7"/>
    <w:rsid w:val="00B4601B"/>
    <w:rsid w:val="00B50165"/>
    <w:rsid w:val="00B50B42"/>
    <w:rsid w:val="00B50D09"/>
    <w:rsid w:val="00B50E2F"/>
    <w:rsid w:val="00B50E50"/>
    <w:rsid w:val="00B51026"/>
    <w:rsid w:val="00B51A02"/>
    <w:rsid w:val="00B51C50"/>
    <w:rsid w:val="00B51E7B"/>
    <w:rsid w:val="00B527AB"/>
    <w:rsid w:val="00B52A44"/>
    <w:rsid w:val="00B531EB"/>
    <w:rsid w:val="00B54228"/>
    <w:rsid w:val="00B542E1"/>
    <w:rsid w:val="00B543C4"/>
    <w:rsid w:val="00B548A1"/>
    <w:rsid w:val="00B54DEE"/>
    <w:rsid w:val="00B55A2A"/>
    <w:rsid w:val="00B56C0C"/>
    <w:rsid w:val="00B56EF6"/>
    <w:rsid w:val="00B57880"/>
    <w:rsid w:val="00B60235"/>
    <w:rsid w:val="00B609C0"/>
    <w:rsid w:val="00B60BD5"/>
    <w:rsid w:val="00B60C9E"/>
    <w:rsid w:val="00B60D7A"/>
    <w:rsid w:val="00B612D2"/>
    <w:rsid w:val="00B617FF"/>
    <w:rsid w:val="00B620F0"/>
    <w:rsid w:val="00B63EF2"/>
    <w:rsid w:val="00B64019"/>
    <w:rsid w:val="00B64AC2"/>
    <w:rsid w:val="00B64F42"/>
    <w:rsid w:val="00B65AAD"/>
    <w:rsid w:val="00B65B86"/>
    <w:rsid w:val="00B66B79"/>
    <w:rsid w:val="00B673B3"/>
    <w:rsid w:val="00B67462"/>
    <w:rsid w:val="00B67493"/>
    <w:rsid w:val="00B67537"/>
    <w:rsid w:val="00B67544"/>
    <w:rsid w:val="00B6778A"/>
    <w:rsid w:val="00B67E6A"/>
    <w:rsid w:val="00B70B15"/>
    <w:rsid w:val="00B70CF9"/>
    <w:rsid w:val="00B713CB"/>
    <w:rsid w:val="00B7170C"/>
    <w:rsid w:val="00B7170E"/>
    <w:rsid w:val="00B71976"/>
    <w:rsid w:val="00B71E54"/>
    <w:rsid w:val="00B7215D"/>
    <w:rsid w:val="00B7223D"/>
    <w:rsid w:val="00B72256"/>
    <w:rsid w:val="00B72CAA"/>
    <w:rsid w:val="00B747CE"/>
    <w:rsid w:val="00B747CF"/>
    <w:rsid w:val="00B75205"/>
    <w:rsid w:val="00B753DE"/>
    <w:rsid w:val="00B75970"/>
    <w:rsid w:val="00B75FA6"/>
    <w:rsid w:val="00B77292"/>
    <w:rsid w:val="00B77303"/>
    <w:rsid w:val="00B77496"/>
    <w:rsid w:val="00B77F97"/>
    <w:rsid w:val="00B803CA"/>
    <w:rsid w:val="00B80833"/>
    <w:rsid w:val="00B80A33"/>
    <w:rsid w:val="00B80DBC"/>
    <w:rsid w:val="00B8166D"/>
    <w:rsid w:val="00B81A75"/>
    <w:rsid w:val="00B8373D"/>
    <w:rsid w:val="00B84168"/>
    <w:rsid w:val="00B845BB"/>
    <w:rsid w:val="00B84C25"/>
    <w:rsid w:val="00B84D6E"/>
    <w:rsid w:val="00B84FDB"/>
    <w:rsid w:val="00B8564B"/>
    <w:rsid w:val="00B857C7"/>
    <w:rsid w:val="00B85D6C"/>
    <w:rsid w:val="00B861B8"/>
    <w:rsid w:val="00B876E2"/>
    <w:rsid w:val="00B91320"/>
    <w:rsid w:val="00B913EC"/>
    <w:rsid w:val="00B91935"/>
    <w:rsid w:val="00B91EBE"/>
    <w:rsid w:val="00B92034"/>
    <w:rsid w:val="00B92352"/>
    <w:rsid w:val="00B93B66"/>
    <w:rsid w:val="00B93DAB"/>
    <w:rsid w:val="00B9415D"/>
    <w:rsid w:val="00B9428F"/>
    <w:rsid w:val="00B943E8"/>
    <w:rsid w:val="00B949C5"/>
    <w:rsid w:val="00B95865"/>
    <w:rsid w:val="00B96973"/>
    <w:rsid w:val="00B977DF"/>
    <w:rsid w:val="00BA1296"/>
    <w:rsid w:val="00BA1355"/>
    <w:rsid w:val="00BA17D0"/>
    <w:rsid w:val="00BA1889"/>
    <w:rsid w:val="00BA1EA3"/>
    <w:rsid w:val="00BA2006"/>
    <w:rsid w:val="00BA2314"/>
    <w:rsid w:val="00BA2645"/>
    <w:rsid w:val="00BA4ED5"/>
    <w:rsid w:val="00BA5E9D"/>
    <w:rsid w:val="00BA64BE"/>
    <w:rsid w:val="00BA7064"/>
    <w:rsid w:val="00BA77B4"/>
    <w:rsid w:val="00BB13F0"/>
    <w:rsid w:val="00BB1B2F"/>
    <w:rsid w:val="00BB29FC"/>
    <w:rsid w:val="00BB3A2F"/>
    <w:rsid w:val="00BB51D0"/>
    <w:rsid w:val="00BB5F90"/>
    <w:rsid w:val="00BB66EB"/>
    <w:rsid w:val="00BB71D3"/>
    <w:rsid w:val="00BB75D1"/>
    <w:rsid w:val="00BB7839"/>
    <w:rsid w:val="00BB7854"/>
    <w:rsid w:val="00BB78B1"/>
    <w:rsid w:val="00BB7E78"/>
    <w:rsid w:val="00BC17CA"/>
    <w:rsid w:val="00BC1B43"/>
    <w:rsid w:val="00BC2269"/>
    <w:rsid w:val="00BC34BB"/>
    <w:rsid w:val="00BC3913"/>
    <w:rsid w:val="00BC3A68"/>
    <w:rsid w:val="00BC4E9B"/>
    <w:rsid w:val="00BC5397"/>
    <w:rsid w:val="00BC53DE"/>
    <w:rsid w:val="00BC674F"/>
    <w:rsid w:val="00BC69FC"/>
    <w:rsid w:val="00BC6D91"/>
    <w:rsid w:val="00BC79F3"/>
    <w:rsid w:val="00BD054B"/>
    <w:rsid w:val="00BD165F"/>
    <w:rsid w:val="00BD17E8"/>
    <w:rsid w:val="00BD1E9F"/>
    <w:rsid w:val="00BD323A"/>
    <w:rsid w:val="00BD3600"/>
    <w:rsid w:val="00BD44C9"/>
    <w:rsid w:val="00BD554F"/>
    <w:rsid w:val="00BD5ACC"/>
    <w:rsid w:val="00BD5C00"/>
    <w:rsid w:val="00BD7372"/>
    <w:rsid w:val="00BD76DA"/>
    <w:rsid w:val="00BD7D0F"/>
    <w:rsid w:val="00BE0D93"/>
    <w:rsid w:val="00BE174A"/>
    <w:rsid w:val="00BE2975"/>
    <w:rsid w:val="00BE3035"/>
    <w:rsid w:val="00BE3409"/>
    <w:rsid w:val="00BE489A"/>
    <w:rsid w:val="00BE4C5A"/>
    <w:rsid w:val="00BE584B"/>
    <w:rsid w:val="00BE5933"/>
    <w:rsid w:val="00BE5E33"/>
    <w:rsid w:val="00BE68A7"/>
    <w:rsid w:val="00BF0BFA"/>
    <w:rsid w:val="00BF1031"/>
    <w:rsid w:val="00BF1830"/>
    <w:rsid w:val="00BF5219"/>
    <w:rsid w:val="00BF56F0"/>
    <w:rsid w:val="00BF63B2"/>
    <w:rsid w:val="00BF6B7F"/>
    <w:rsid w:val="00BF7304"/>
    <w:rsid w:val="00BF7E14"/>
    <w:rsid w:val="00C009B0"/>
    <w:rsid w:val="00C01BCA"/>
    <w:rsid w:val="00C01E8F"/>
    <w:rsid w:val="00C02F28"/>
    <w:rsid w:val="00C0470A"/>
    <w:rsid w:val="00C048A1"/>
    <w:rsid w:val="00C05304"/>
    <w:rsid w:val="00C05C9F"/>
    <w:rsid w:val="00C06401"/>
    <w:rsid w:val="00C06464"/>
    <w:rsid w:val="00C06814"/>
    <w:rsid w:val="00C06B22"/>
    <w:rsid w:val="00C06BE8"/>
    <w:rsid w:val="00C10C37"/>
    <w:rsid w:val="00C12DF5"/>
    <w:rsid w:val="00C1326F"/>
    <w:rsid w:val="00C134A4"/>
    <w:rsid w:val="00C14C96"/>
    <w:rsid w:val="00C15406"/>
    <w:rsid w:val="00C154AA"/>
    <w:rsid w:val="00C15C6A"/>
    <w:rsid w:val="00C15ECF"/>
    <w:rsid w:val="00C162DB"/>
    <w:rsid w:val="00C17013"/>
    <w:rsid w:val="00C17045"/>
    <w:rsid w:val="00C17260"/>
    <w:rsid w:val="00C203CC"/>
    <w:rsid w:val="00C20DFF"/>
    <w:rsid w:val="00C213EE"/>
    <w:rsid w:val="00C21F86"/>
    <w:rsid w:val="00C23914"/>
    <w:rsid w:val="00C2398B"/>
    <w:rsid w:val="00C239AC"/>
    <w:rsid w:val="00C239E1"/>
    <w:rsid w:val="00C25257"/>
    <w:rsid w:val="00C25D6A"/>
    <w:rsid w:val="00C25EC4"/>
    <w:rsid w:val="00C263F1"/>
    <w:rsid w:val="00C264DC"/>
    <w:rsid w:val="00C26F31"/>
    <w:rsid w:val="00C27679"/>
    <w:rsid w:val="00C27E0B"/>
    <w:rsid w:val="00C31760"/>
    <w:rsid w:val="00C322C5"/>
    <w:rsid w:val="00C3253E"/>
    <w:rsid w:val="00C32994"/>
    <w:rsid w:val="00C332B4"/>
    <w:rsid w:val="00C339C7"/>
    <w:rsid w:val="00C34819"/>
    <w:rsid w:val="00C36195"/>
    <w:rsid w:val="00C36AE2"/>
    <w:rsid w:val="00C37DCF"/>
    <w:rsid w:val="00C41448"/>
    <w:rsid w:val="00C41E93"/>
    <w:rsid w:val="00C41EB6"/>
    <w:rsid w:val="00C4264B"/>
    <w:rsid w:val="00C44908"/>
    <w:rsid w:val="00C450B6"/>
    <w:rsid w:val="00C45E20"/>
    <w:rsid w:val="00C468D3"/>
    <w:rsid w:val="00C4752A"/>
    <w:rsid w:val="00C4780E"/>
    <w:rsid w:val="00C47E51"/>
    <w:rsid w:val="00C502D3"/>
    <w:rsid w:val="00C50C02"/>
    <w:rsid w:val="00C519CF"/>
    <w:rsid w:val="00C51BFD"/>
    <w:rsid w:val="00C528DD"/>
    <w:rsid w:val="00C528E3"/>
    <w:rsid w:val="00C53E10"/>
    <w:rsid w:val="00C5482D"/>
    <w:rsid w:val="00C54AF2"/>
    <w:rsid w:val="00C54D6F"/>
    <w:rsid w:val="00C55251"/>
    <w:rsid w:val="00C55389"/>
    <w:rsid w:val="00C554B5"/>
    <w:rsid w:val="00C555C0"/>
    <w:rsid w:val="00C5572F"/>
    <w:rsid w:val="00C5579F"/>
    <w:rsid w:val="00C5582B"/>
    <w:rsid w:val="00C55C65"/>
    <w:rsid w:val="00C56143"/>
    <w:rsid w:val="00C566AF"/>
    <w:rsid w:val="00C56A00"/>
    <w:rsid w:val="00C56C4F"/>
    <w:rsid w:val="00C57641"/>
    <w:rsid w:val="00C57817"/>
    <w:rsid w:val="00C57871"/>
    <w:rsid w:val="00C57A78"/>
    <w:rsid w:val="00C6041E"/>
    <w:rsid w:val="00C6084A"/>
    <w:rsid w:val="00C624EE"/>
    <w:rsid w:val="00C62C3A"/>
    <w:rsid w:val="00C631B2"/>
    <w:rsid w:val="00C63AFE"/>
    <w:rsid w:val="00C63F79"/>
    <w:rsid w:val="00C648F9"/>
    <w:rsid w:val="00C64A4E"/>
    <w:rsid w:val="00C64DF6"/>
    <w:rsid w:val="00C65F8D"/>
    <w:rsid w:val="00C66A20"/>
    <w:rsid w:val="00C67C64"/>
    <w:rsid w:val="00C706C8"/>
    <w:rsid w:val="00C708A9"/>
    <w:rsid w:val="00C70F76"/>
    <w:rsid w:val="00C71541"/>
    <w:rsid w:val="00C725CF"/>
    <w:rsid w:val="00C72CDA"/>
    <w:rsid w:val="00C73504"/>
    <w:rsid w:val="00C737B8"/>
    <w:rsid w:val="00C74005"/>
    <w:rsid w:val="00C74225"/>
    <w:rsid w:val="00C743EE"/>
    <w:rsid w:val="00C74D46"/>
    <w:rsid w:val="00C756D1"/>
    <w:rsid w:val="00C760FB"/>
    <w:rsid w:val="00C761D8"/>
    <w:rsid w:val="00C77652"/>
    <w:rsid w:val="00C8043D"/>
    <w:rsid w:val="00C806F4"/>
    <w:rsid w:val="00C80953"/>
    <w:rsid w:val="00C8159E"/>
    <w:rsid w:val="00C82035"/>
    <w:rsid w:val="00C8208B"/>
    <w:rsid w:val="00C82BE1"/>
    <w:rsid w:val="00C82D8F"/>
    <w:rsid w:val="00C82FED"/>
    <w:rsid w:val="00C833AA"/>
    <w:rsid w:val="00C8397E"/>
    <w:rsid w:val="00C84519"/>
    <w:rsid w:val="00C847FA"/>
    <w:rsid w:val="00C84E08"/>
    <w:rsid w:val="00C8647A"/>
    <w:rsid w:val="00C86516"/>
    <w:rsid w:val="00C86B61"/>
    <w:rsid w:val="00C8777C"/>
    <w:rsid w:val="00C9067B"/>
    <w:rsid w:val="00C9154D"/>
    <w:rsid w:val="00C91A42"/>
    <w:rsid w:val="00C92DA5"/>
    <w:rsid w:val="00C933E8"/>
    <w:rsid w:val="00C939B1"/>
    <w:rsid w:val="00C93F94"/>
    <w:rsid w:val="00C94844"/>
    <w:rsid w:val="00C94F89"/>
    <w:rsid w:val="00C959FD"/>
    <w:rsid w:val="00C95C35"/>
    <w:rsid w:val="00C962B4"/>
    <w:rsid w:val="00C96C0F"/>
    <w:rsid w:val="00C96FF1"/>
    <w:rsid w:val="00C97790"/>
    <w:rsid w:val="00C97831"/>
    <w:rsid w:val="00CA0629"/>
    <w:rsid w:val="00CA09E0"/>
    <w:rsid w:val="00CA0D8C"/>
    <w:rsid w:val="00CA0F03"/>
    <w:rsid w:val="00CA0FD6"/>
    <w:rsid w:val="00CA1BF5"/>
    <w:rsid w:val="00CA1FAB"/>
    <w:rsid w:val="00CA2E68"/>
    <w:rsid w:val="00CA3040"/>
    <w:rsid w:val="00CA30B7"/>
    <w:rsid w:val="00CA46E7"/>
    <w:rsid w:val="00CA4B34"/>
    <w:rsid w:val="00CA558D"/>
    <w:rsid w:val="00CA6762"/>
    <w:rsid w:val="00CA6782"/>
    <w:rsid w:val="00CA6FDC"/>
    <w:rsid w:val="00CA74E0"/>
    <w:rsid w:val="00CA774D"/>
    <w:rsid w:val="00CA7B39"/>
    <w:rsid w:val="00CB0DE0"/>
    <w:rsid w:val="00CB12E7"/>
    <w:rsid w:val="00CB1891"/>
    <w:rsid w:val="00CB2F0A"/>
    <w:rsid w:val="00CB352A"/>
    <w:rsid w:val="00CB3F1F"/>
    <w:rsid w:val="00CB47A5"/>
    <w:rsid w:val="00CB55FF"/>
    <w:rsid w:val="00CB5926"/>
    <w:rsid w:val="00CB6DDF"/>
    <w:rsid w:val="00CB6E35"/>
    <w:rsid w:val="00CC0170"/>
    <w:rsid w:val="00CC02F2"/>
    <w:rsid w:val="00CC07E2"/>
    <w:rsid w:val="00CC0F51"/>
    <w:rsid w:val="00CC1224"/>
    <w:rsid w:val="00CC1CF3"/>
    <w:rsid w:val="00CC1E24"/>
    <w:rsid w:val="00CC2156"/>
    <w:rsid w:val="00CC2AE7"/>
    <w:rsid w:val="00CC2BD7"/>
    <w:rsid w:val="00CC30BC"/>
    <w:rsid w:val="00CC4726"/>
    <w:rsid w:val="00CC4B9E"/>
    <w:rsid w:val="00CC545D"/>
    <w:rsid w:val="00CC5633"/>
    <w:rsid w:val="00CC57C6"/>
    <w:rsid w:val="00CC5E63"/>
    <w:rsid w:val="00CC6734"/>
    <w:rsid w:val="00CC6A6C"/>
    <w:rsid w:val="00CC70A2"/>
    <w:rsid w:val="00CC7CC6"/>
    <w:rsid w:val="00CC7D5F"/>
    <w:rsid w:val="00CD083E"/>
    <w:rsid w:val="00CD12D9"/>
    <w:rsid w:val="00CD1992"/>
    <w:rsid w:val="00CD2BF8"/>
    <w:rsid w:val="00CD3149"/>
    <w:rsid w:val="00CD3943"/>
    <w:rsid w:val="00CD6538"/>
    <w:rsid w:val="00CD73C1"/>
    <w:rsid w:val="00CD7E51"/>
    <w:rsid w:val="00CD7ED1"/>
    <w:rsid w:val="00CE0671"/>
    <w:rsid w:val="00CE0686"/>
    <w:rsid w:val="00CE0C94"/>
    <w:rsid w:val="00CE156E"/>
    <w:rsid w:val="00CE1A39"/>
    <w:rsid w:val="00CE1ED6"/>
    <w:rsid w:val="00CE1F0E"/>
    <w:rsid w:val="00CE2BB8"/>
    <w:rsid w:val="00CE3DFD"/>
    <w:rsid w:val="00CE3EFE"/>
    <w:rsid w:val="00CE4C6C"/>
    <w:rsid w:val="00CE4DC6"/>
    <w:rsid w:val="00CE700D"/>
    <w:rsid w:val="00CE73D9"/>
    <w:rsid w:val="00CE7486"/>
    <w:rsid w:val="00CE776A"/>
    <w:rsid w:val="00CE7E33"/>
    <w:rsid w:val="00CF0BD9"/>
    <w:rsid w:val="00CF2F74"/>
    <w:rsid w:val="00CF3020"/>
    <w:rsid w:val="00CF346F"/>
    <w:rsid w:val="00CF4175"/>
    <w:rsid w:val="00CF4D45"/>
    <w:rsid w:val="00CF58FE"/>
    <w:rsid w:val="00CF5C25"/>
    <w:rsid w:val="00CF5D6C"/>
    <w:rsid w:val="00CF5F17"/>
    <w:rsid w:val="00CF62B7"/>
    <w:rsid w:val="00CF6A35"/>
    <w:rsid w:val="00CF6A86"/>
    <w:rsid w:val="00CF77D6"/>
    <w:rsid w:val="00CF7BB2"/>
    <w:rsid w:val="00CF7DA3"/>
    <w:rsid w:val="00D008A2"/>
    <w:rsid w:val="00D01FA6"/>
    <w:rsid w:val="00D0206E"/>
    <w:rsid w:val="00D0210F"/>
    <w:rsid w:val="00D026F3"/>
    <w:rsid w:val="00D02D95"/>
    <w:rsid w:val="00D03FC6"/>
    <w:rsid w:val="00D03FD6"/>
    <w:rsid w:val="00D04112"/>
    <w:rsid w:val="00D0482C"/>
    <w:rsid w:val="00D049BD"/>
    <w:rsid w:val="00D04C65"/>
    <w:rsid w:val="00D050DF"/>
    <w:rsid w:val="00D05169"/>
    <w:rsid w:val="00D06726"/>
    <w:rsid w:val="00D07203"/>
    <w:rsid w:val="00D07C3C"/>
    <w:rsid w:val="00D10060"/>
    <w:rsid w:val="00D10645"/>
    <w:rsid w:val="00D10861"/>
    <w:rsid w:val="00D10CCF"/>
    <w:rsid w:val="00D10D04"/>
    <w:rsid w:val="00D11532"/>
    <w:rsid w:val="00D13137"/>
    <w:rsid w:val="00D13148"/>
    <w:rsid w:val="00D13553"/>
    <w:rsid w:val="00D137CE"/>
    <w:rsid w:val="00D13804"/>
    <w:rsid w:val="00D13B54"/>
    <w:rsid w:val="00D14819"/>
    <w:rsid w:val="00D15025"/>
    <w:rsid w:val="00D151CB"/>
    <w:rsid w:val="00D15798"/>
    <w:rsid w:val="00D167C7"/>
    <w:rsid w:val="00D17349"/>
    <w:rsid w:val="00D2065B"/>
    <w:rsid w:val="00D20671"/>
    <w:rsid w:val="00D207AB"/>
    <w:rsid w:val="00D20877"/>
    <w:rsid w:val="00D215DE"/>
    <w:rsid w:val="00D21666"/>
    <w:rsid w:val="00D2215C"/>
    <w:rsid w:val="00D22E4F"/>
    <w:rsid w:val="00D2321D"/>
    <w:rsid w:val="00D2329D"/>
    <w:rsid w:val="00D23787"/>
    <w:rsid w:val="00D2427A"/>
    <w:rsid w:val="00D2486D"/>
    <w:rsid w:val="00D24E04"/>
    <w:rsid w:val="00D2641C"/>
    <w:rsid w:val="00D26E53"/>
    <w:rsid w:val="00D272B2"/>
    <w:rsid w:val="00D27959"/>
    <w:rsid w:val="00D31089"/>
    <w:rsid w:val="00D32150"/>
    <w:rsid w:val="00D32450"/>
    <w:rsid w:val="00D3295B"/>
    <w:rsid w:val="00D333B0"/>
    <w:rsid w:val="00D33449"/>
    <w:rsid w:val="00D339E3"/>
    <w:rsid w:val="00D3430C"/>
    <w:rsid w:val="00D345BA"/>
    <w:rsid w:val="00D345C3"/>
    <w:rsid w:val="00D3463A"/>
    <w:rsid w:val="00D35BC8"/>
    <w:rsid w:val="00D36357"/>
    <w:rsid w:val="00D3648D"/>
    <w:rsid w:val="00D3669C"/>
    <w:rsid w:val="00D37C8E"/>
    <w:rsid w:val="00D407E4"/>
    <w:rsid w:val="00D409EB"/>
    <w:rsid w:val="00D40A74"/>
    <w:rsid w:val="00D40CC2"/>
    <w:rsid w:val="00D40D70"/>
    <w:rsid w:val="00D40F59"/>
    <w:rsid w:val="00D412BC"/>
    <w:rsid w:val="00D42DB8"/>
    <w:rsid w:val="00D437EF"/>
    <w:rsid w:val="00D43D10"/>
    <w:rsid w:val="00D4710B"/>
    <w:rsid w:val="00D5184A"/>
    <w:rsid w:val="00D51C1A"/>
    <w:rsid w:val="00D51E2C"/>
    <w:rsid w:val="00D52120"/>
    <w:rsid w:val="00D531B1"/>
    <w:rsid w:val="00D53BEF"/>
    <w:rsid w:val="00D53D56"/>
    <w:rsid w:val="00D54108"/>
    <w:rsid w:val="00D54BA5"/>
    <w:rsid w:val="00D55048"/>
    <w:rsid w:val="00D56905"/>
    <w:rsid w:val="00D56B21"/>
    <w:rsid w:val="00D56B9A"/>
    <w:rsid w:val="00D570AD"/>
    <w:rsid w:val="00D57128"/>
    <w:rsid w:val="00D5772F"/>
    <w:rsid w:val="00D57DDF"/>
    <w:rsid w:val="00D60604"/>
    <w:rsid w:val="00D6136D"/>
    <w:rsid w:val="00D61F4A"/>
    <w:rsid w:val="00D61FAE"/>
    <w:rsid w:val="00D6253D"/>
    <w:rsid w:val="00D6289B"/>
    <w:rsid w:val="00D6315B"/>
    <w:rsid w:val="00D6390E"/>
    <w:rsid w:val="00D64ADC"/>
    <w:rsid w:val="00D65351"/>
    <w:rsid w:val="00D6600F"/>
    <w:rsid w:val="00D66682"/>
    <w:rsid w:val="00D6680B"/>
    <w:rsid w:val="00D7099C"/>
    <w:rsid w:val="00D70AFB"/>
    <w:rsid w:val="00D719F8"/>
    <w:rsid w:val="00D71A89"/>
    <w:rsid w:val="00D72323"/>
    <w:rsid w:val="00D7259E"/>
    <w:rsid w:val="00D725F5"/>
    <w:rsid w:val="00D7293C"/>
    <w:rsid w:val="00D72DAB"/>
    <w:rsid w:val="00D741BC"/>
    <w:rsid w:val="00D74D29"/>
    <w:rsid w:val="00D778C5"/>
    <w:rsid w:val="00D801A0"/>
    <w:rsid w:val="00D80C7B"/>
    <w:rsid w:val="00D811CF"/>
    <w:rsid w:val="00D812FB"/>
    <w:rsid w:val="00D813D4"/>
    <w:rsid w:val="00D81BAF"/>
    <w:rsid w:val="00D83545"/>
    <w:rsid w:val="00D83736"/>
    <w:rsid w:val="00D8387E"/>
    <w:rsid w:val="00D84555"/>
    <w:rsid w:val="00D84696"/>
    <w:rsid w:val="00D847FF"/>
    <w:rsid w:val="00D8482A"/>
    <w:rsid w:val="00D84975"/>
    <w:rsid w:val="00D85B09"/>
    <w:rsid w:val="00D86759"/>
    <w:rsid w:val="00D870B7"/>
    <w:rsid w:val="00D87DF9"/>
    <w:rsid w:val="00D87E90"/>
    <w:rsid w:val="00D9145B"/>
    <w:rsid w:val="00D91D02"/>
    <w:rsid w:val="00D92630"/>
    <w:rsid w:val="00D927FB"/>
    <w:rsid w:val="00D931D8"/>
    <w:rsid w:val="00D94560"/>
    <w:rsid w:val="00D94B21"/>
    <w:rsid w:val="00D94D40"/>
    <w:rsid w:val="00D95AD4"/>
    <w:rsid w:val="00D95BF2"/>
    <w:rsid w:val="00D95EA5"/>
    <w:rsid w:val="00D96B71"/>
    <w:rsid w:val="00D96F6B"/>
    <w:rsid w:val="00D9747C"/>
    <w:rsid w:val="00D9759D"/>
    <w:rsid w:val="00D97BBC"/>
    <w:rsid w:val="00D97F67"/>
    <w:rsid w:val="00DA0443"/>
    <w:rsid w:val="00DA0665"/>
    <w:rsid w:val="00DA0696"/>
    <w:rsid w:val="00DA0AC9"/>
    <w:rsid w:val="00DA0C39"/>
    <w:rsid w:val="00DA12CE"/>
    <w:rsid w:val="00DA1968"/>
    <w:rsid w:val="00DA2736"/>
    <w:rsid w:val="00DA3248"/>
    <w:rsid w:val="00DA3D50"/>
    <w:rsid w:val="00DA5132"/>
    <w:rsid w:val="00DA589A"/>
    <w:rsid w:val="00DA69AE"/>
    <w:rsid w:val="00DA6B1C"/>
    <w:rsid w:val="00DA7AFC"/>
    <w:rsid w:val="00DB02F7"/>
    <w:rsid w:val="00DB0EEF"/>
    <w:rsid w:val="00DB1CCB"/>
    <w:rsid w:val="00DB25B6"/>
    <w:rsid w:val="00DB2660"/>
    <w:rsid w:val="00DB2A3E"/>
    <w:rsid w:val="00DB2EDD"/>
    <w:rsid w:val="00DB3C19"/>
    <w:rsid w:val="00DB3D1C"/>
    <w:rsid w:val="00DB4619"/>
    <w:rsid w:val="00DB4F46"/>
    <w:rsid w:val="00DB5046"/>
    <w:rsid w:val="00DB506A"/>
    <w:rsid w:val="00DB5112"/>
    <w:rsid w:val="00DB5492"/>
    <w:rsid w:val="00DB6DBA"/>
    <w:rsid w:val="00DB70F5"/>
    <w:rsid w:val="00DB717D"/>
    <w:rsid w:val="00DB7D08"/>
    <w:rsid w:val="00DC0D52"/>
    <w:rsid w:val="00DC1556"/>
    <w:rsid w:val="00DC26BE"/>
    <w:rsid w:val="00DC2DAE"/>
    <w:rsid w:val="00DC2DF5"/>
    <w:rsid w:val="00DC3736"/>
    <w:rsid w:val="00DC3793"/>
    <w:rsid w:val="00DC37C4"/>
    <w:rsid w:val="00DC3887"/>
    <w:rsid w:val="00DC44FB"/>
    <w:rsid w:val="00DC488C"/>
    <w:rsid w:val="00DC4993"/>
    <w:rsid w:val="00DC4B24"/>
    <w:rsid w:val="00DC51A5"/>
    <w:rsid w:val="00DC52CC"/>
    <w:rsid w:val="00DC540E"/>
    <w:rsid w:val="00DC5E23"/>
    <w:rsid w:val="00DC6B63"/>
    <w:rsid w:val="00DC7A6C"/>
    <w:rsid w:val="00DD044B"/>
    <w:rsid w:val="00DD05D1"/>
    <w:rsid w:val="00DD0CF3"/>
    <w:rsid w:val="00DD19F5"/>
    <w:rsid w:val="00DD2C2C"/>
    <w:rsid w:val="00DD2C71"/>
    <w:rsid w:val="00DD389B"/>
    <w:rsid w:val="00DD3FEB"/>
    <w:rsid w:val="00DD495D"/>
    <w:rsid w:val="00DD6100"/>
    <w:rsid w:val="00DD648A"/>
    <w:rsid w:val="00DD64C4"/>
    <w:rsid w:val="00DD6E56"/>
    <w:rsid w:val="00DD7311"/>
    <w:rsid w:val="00DD74BB"/>
    <w:rsid w:val="00DD791E"/>
    <w:rsid w:val="00DD7D99"/>
    <w:rsid w:val="00DD7FB2"/>
    <w:rsid w:val="00DE0931"/>
    <w:rsid w:val="00DE0F3F"/>
    <w:rsid w:val="00DE123D"/>
    <w:rsid w:val="00DE2ACB"/>
    <w:rsid w:val="00DE2F7C"/>
    <w:rsid w:val="00DE33D8"/>
    <w:rsid w:val="00DE3403"/>
    <w:rsid w:val="00DE3C95"/>
    <w:rsid w:val="00DE3E27"/>
    <w:rsid w:val="00DE4070"/>
    <w:rsid w:val="00DE44C8"/>
    <w:rsid w:val="00DE5EE9"/>
    <w:rsid w:val="00DE5EEB"/>
    <w:rsid w:val="00DE657F"/>
    <w:rsid w:val="00DE6A15"/>
    <w:rsid w:val="00DE6C67"/>
    <w:rsid w:val="00DE72A8"/>
    <w:rsid w:val="00DF0A0D"/>
    <w:rsid w:val="00DF1EC7"/>
    <w:rsid w:val="00DF23FB"/>
    <w:rsid w:val="00DF2537"/>
    <w:rsid w:val="00DF2654"/>
    <w:rsid w:val="00DF2BBF"/>
    <w:rsid w:val="00DF313A"/>
    <w:rsid w:val="00DF3196"/>
    <w:rsid w:val="00DF39C3"/>
    <w:rsid w:val="00DF3CCC"/>
    <w:rsid w:val="00DF3DD0"/>
    <w:rsid w:val="00DF404C"/>
    <w:rsid w:val="00DF495D"/>
    <w:rsid w:val="00DF49C9"/>
    <w:rsid w:val="00DF4F52"/>
    <w:rsid w:val="00DF56C4"/>
    <w:rsid w:val="00DF5913"/>
    <w:rsid w:val="00DF5D8D"/>
    <w:rsid w:val="00DF6397"/>
    <w:rsid w:val="00DF67B7"/>
    <w:rsid w:val="00DF6D3F"/>
    <w:rsid w:val="00DF6FB1"/>
    <w:rsid w:val="00DF6FB9"/>
    <w:rsid w:val="00DF7507"/>
    <w:rsid w:val="00E0018C"/>
    <w:rsid w:val="00E00318"/>
    <w:rsid w:val="00E009CB"/>
    <w:rsid w:val="00E00D3E"/>
    <w:rsid w:val="00E00E42"/>
    <w:rsid w:val="00E01C42"/>
    <w:rsid w:val="00E023A9"/>
    <w:rsid w:val="00E025BB"/>
    <w:rsid w:val="00E0296D"/>
    <w:rsid w:val="00E02B85"/>
    <w:rsid w:val="00E0334E"/>
    <w:rsid w:val="00E03FE1"/>
    <w:rsid w:val="00E04BF5"/>
    <w:rsid w:val="00E05291"/>
    <w:rsid w:val="00E05305"/>
    <w:rsid w:val="00E0568A"/>
    <w:rsid w:val="00E05826"/>
    <w:rsid w:val="00E05CB2"/>
    <w:rsid w:val="00E06A21"/>
    <w:rsid w:val="00E06A34"/>
    <w:rsid w:val="00E06BFB"/>
    <w:rsid w:val="00E06F07"/>
    <w:rsid w:val="00E07835"/>
    <w:rsid w:val="00E079AF"/>
    <w:rsid w:val="00E1000D"/>
    <w:rsid w:val="00E11416"/>
    <w:rsid w:val="00E11662"/>
    <w:rsid w:val="00E11CC1"/>
    <w:rsid w:val="00E11CD4"/>
    <w:rsid w:val="00E12775"/>
    <w:rsid w:val="00E12937"/>
    <w:rsid w:val="00E12987"/>
    <w:rsid w:val="00E12E90"/>
    <w:rsid w:val="00E13151"/>
    <w:rsid w:val="00E137F2"/>
    <w:rsid w:val="00E13A68"/>
    <w:rsid w:val="00E13E43"/>
    <w:rsid w:val="00E14E35"/>
    <w:rsid w:val="00E168F0"/>
    <w:rsid w:val="00E177BC"/>
    <w:rsid w:val="00E20745"/>
    <w:rsid w:val="00E21E56"/>
    <w:rsid w:val="00E21E66"/>
    <w:rsid w:val="00E22302"/>
    <w:rsid w:val="00E2352F"/>
    <w:rsid w:val="00E23AF1"/>
    <w:rsid w:val="00E24CF0"/>
    <w:rsid w:val="00E24DD8"/>
    <w:rsid w:val="00E2501F"/>
    <w:rsid w:val="00E254C4"/>
    <w:rsid w:val="00E25B75"/>
    <w:rsid w:val="00E26215"/>
    <w:rsid w:val="00E26401"/>
    <w:rsid w:val="00E30C29"/>
    <w:rsid w:val="00E316D8"/>
    <w:rsid w:val="00E31F77"/>
    <w:rsid w:val="00E320EE"/>
    <w:rsid w:val="00E32E7A"/>
    <w:rsid w:val="00E32E84"/>
    <w:rsid w:val="00E33E05"/>
    <w:rsid w:val="00E33E6A"/>
    <w:rsid w:val="00E34334"/>
    <w:rsid w:val="00E35046"/>
    <w:rsid w:val="00E35BAD"/>
    <w:rsid w:val="00E36130"/>
    <w:rsid w:val="00E3649B"/>
    <w:rsid w:val="00E36A79"/>
    <w:rsid w:val="00E36C40"/>
    <w:rsid w:val="00E37D35"/>
    <w:rsid w:val="00E40750"/>
    <w:rsid w:val="00E41993"/>
    <w:rsid w:val="00E43165"/>
    <w:rsid w:val="00E4336A"/>
    <w:rsid w:val="00E434E5"/>
    <w:rsid w:val="00E43CC1"/>
    <w:rsid w:val="00E44317"/>
    <w:rsid w:val="00E44586"/>
    <w:rsid w:val="00E44D87"/>
    <w:rsid w:val="00E44F49"/>
    <w:rsid w:val="00E45866"/>
    <w:rsid w:val="00E45DDA"/>
    <w:rsid w:val="00E45FB1"/>
    <w:rsid w:val="00E4675C"/>
    <w:rsid w:val="00E470F3"/>
    <w:rsid w:val="00E4770F"/>
    <w:rsid w:val="00E50E19"/>
    <w:rsid w:val="00E514E3"/>
    <w:rsid w:val="00E52223"/>
    <w:rsid w:val="00E5234E"/>
    <w:rsid w:val="00E52443"/>
    <w:rsid w:val="00E5263D"/>
    <w:rsid w:val="00E5354F"/>
    <w:rsid w:val="00E53BCD"/>
    <w:rsid w:val="00E5409A"/>
    <w:rsid w:val="00E54D85"/>
    <w:rsid w:val="00E5542C"/>
    <w:rsid w:val="00E56B40"/>
    <w:rsid w:val="00E56FAD"/>
    <w:rsid w:val="00E578E2"/>
    <w:rsid w:val="00E605E5"/>
    <w:rsid w:val="00E61AEC"/>
    <w:rsid w:val="00E62246"/>
    <w:rsid w:val="00E62624"/>
    <w:rsid w:val="00E63D14"/>
    <w:rsid w:val="00E63D60"/>
    <w:rsid w:val="00E649D9"/>
    <w:rsid w:val="00E64A11"/>
    <w:rsid w:val="00E64DCE"/>
    <w:rsid w:val="00E65977"/>
    <w:rsid w:val="00E65D1E"/>
    <w:rsid w:val="00E66A4B"/>
    <w:rsid w:val="00E66BAB"/>
    <w:rsid w:val="00E66DDE"/>
    <w:rsid w:val="00E671AC"/>
    <w:rsid w:val="00E6727D"/>
    <w:rsid w:val="00E7013C"/>
    <w:rsid w:val="00E70430"/>
    <w:rsid w:val="00E704CD"/>
    <w:rsid w:val="00E72695"/>
    <w:rsid w:val="00E7400C"/>
    <w:rsid w:val="00E74352"/>
    <w:rsid w:val="00E743E1"/>
    <w:rsid w:val="00E745E9"/>
    <w:rsid w:val="00E74644"/>
    <w:rsid w:val="00E749E2"/>
    <w:rsid w:val="00E75213"/>
    <w:rsid w:val="00E75952"/>
    <w:rsid w:val="00E75955"/>
    <w:rsid w:val="00E75969"/>
    <w:rsid w:val="00E75FF2"/>
    <w:rsid w:val="00E76492"/>
    <w:rsid w:val="00E7685C"/>
    <w:rsid w:val="00E76C2E"/>
    <w:rsid w:val="00E76D85"/>
    <w:rsid w:val="00E7705E"/>
    <w:rsid w:val="00E80B65"/>
    <w:rsid w:val="00E8280C"/>
    <w:rsid w:val="00E82A2A"/>
    <w:rsid w:val="00E82D15"/>
    <w:rsid w:val="00E8384D"/>
    <w:rsid w:val="00E83859"/>
    <w:rsid w:val="00E855C0"/>
    <w:rsid w:val="00E85C51"/>
    <w:rsid w:val="00E8627F"/>
    <w:rsid w:val="00E8764D"/>
    <w:rsid w:val="00E87723"/>
    <w:rsid w:val="00E879DA"/>
    <w:rsid w:val="00E87FBB"/>
    <w:rsid w:val="00E916CF"/>
    <w:rsid w:val="00E917E6"/>
    <w:rsid w:val="00E9181B"/>
    <w:rsid w:val="00E91F3D"/>
    <w:rsid w:val="00E92FBE"/>
    <w:rsid w:val="00E9324A"/>
    <w:rsid w:val="00E93BB9"/>
    <w:rsid w:val="00E94CE2"/>
    <w:rsid w:val="00E955AC"/>
    <w:rsid w:val="00E95CA1"/>
    <w:rsid w:val="00E96ACF"/>
    <w:rsid w:val="00E96B66"/>
    <w:rsid w:val="00E96F9D"/>
    <w:rsid w:val="00E972E0"/>
    <w:rsid w:val="00EA05B5"/>
    <w:rsid w:val="00EA0725"/>
    <w:rsid w:val="00EA116F"/>
    <w:rsid w:val="00EA1228"/>
    <w:rsid w:val="00EA1326"/>
    <w:rsid w:val="00EA1366"/>
    <w:rsid w:val="00EA1FF3"/>
    <w:rsid w:val="00EA2529"/>
    <w:rsid w:val="00EA329B"/>
    <w:rsid w:val="00EA3C4C"/>
    <w:rsid w:val="00EA3C5E"/>
    <w:rsid w:val="00EA408D"/>
    <w:rsid w:val="00EA5284"/>
    <w:rsid w:val="00EA5E24"/>
    <w:rsid w:val="00EA6B6D"/>
    <w:rsid w:val="00EB149F"/>
    <w:rsid w:val="00EB15A2"/>
    <w:rsid w:val="00EB1929"/>
    <w:rsid w:val="00EB1C36"/>
    <w:rsid w:val="00EB2037"/>
    <w:rsid w:val="00EB271C"/>
    <w:rsid w:val="00EB2B4C"/>
    <w:rsid w:val="00EB2D14"/>
    <w:rsid w:val="00EB31F9"/>
    <w:rsid w:val="00EB46A3"/>
    <w:rsid w:val="00EB55A7"/>
    <w:rsid w:val="00EB591A"/>
    <w:rsid w:val="00EB5A3D"/>
    <w:rsid w:val="00EB611E"/>
    <w:rsid w:val="00EB6581"/>
    <w:rsid w:val="00EB7629"/>
    <w:rsid w:val="00EB7759"/>
    <w:rsid w:val="00EB7DA0"/>
    <w:rsid w:val="00EB7EF0"/>
    <w:rsid w:val="00EC092D"/>
    <w:rsid w:val="00EC245D"/>
    <w:rsid w:val="00EC292F"/>
    <w:rsid w:val="00EC3CF8"/>
    <w:rsid w:val="00EC439D"/>
    <w:rsid w:val="00EC43ED"/>
    <w:rsid w:val="00EC488D"/>
    <w:rsid w:val="00EC49A0"/>
    <w:rsid w:val="00EC591E"/>
    <w:rsid w:val="00EC594C"/>
    <w:rsid w:val="00EC5F73"/>
    <w:rsid w:val="00EC6106"/>
    <w:rsid w:val="00EC662D"/>
    <w:rsid w:val="00EC6CDA"/>
    <w:rsid w:val="00EC7B57"/>
    <w:rsid w:val="00ED087A"/>
    <w:rsid w:val="00ED12CD"/>
    <w:rsid w:val="00ED207D"/>
    <w:rsid w:val="00ED2CC8"/>
    <w:rsid w:val="00ED326C"/>
    <w:rsid w:val="00ED33A1"/>
    <w:rsid w:val="00ED4CF4"/>
    <w:rsid w:val="00ED513F"/>
    <w:rsid w:val="00ED56F5"/>
    <w:rsid w:val="00ED599F"/>
    <w:rsid w:val="00ED6179"/>
    <w:rsid w:val="00ED6CBF"/>
    <w:rsid w:val="00ED76B2"/>
    <w:rsid w:val="00ED7B8A"/>
    <w:rsid w:val="00EE082F"/>
    <w:rsid w:val="00EE11D2"/>
    <w:rsid w:val="00EE12DB"/>
    <w:rsid w:val="00EE1449"/>
    <w:rsid w:val="00EE3456"/>
    <w:rsid w:val="00EE3842"/>
    <w:rsid w:val="00EE45E7"/>
    <w:rsid w:val="00EE47B3"/>
    <w:rsid w:val="00EE521D"/>
    <w:rsid w:val="00EE59CC"/>
    <w:rsid w:val="00EE6632"/>
    <w:rsid w:val="00EE6916"/>
    <w:rsid w:val="00EF05F4"/>
    <w:rsid w:val="00EF1591"/>
    <w:rsid w:val="00EF1B03"/>
    <w:rsid w:val="00EF2922"/>
    <w:rsid w:val="00EF2C83"/>
    <w:rsid w:val="00EF2DB4"/>
    <w:rsid w:val="00EF2E32"/>
    <w:rsid w:val="00EF32AC"/>
    <w:rsid w:val="00EF3AA0"/>
    <w:rsid w:val="00EF4E32"/>
    <w:rsid w:val="00EF521E"/>
    <w:rsid w:val="00EF635B"/>
    <w:rsid w:val="00EF6780"/>
    <w:rsid w:val="00EF6804"/>
    <w:rsid w:val="00EF6C7C"/>
    <w:rsid w:val="00EF7543"/>
    <w:rsid w:val="00EF7932"/>
    <w:rsid w:val="00EF7E6E"/>
    <w:rsid w:val="00F00109"/>
    <w:rsid w:val="00F00345"/>
    <w:rsid w:val="00F00C2C"/>
    <w:rsid w:val="00F015CC"/>
    <w:rsid w:val="00F01C62"/>
    <w:rsid w:val="00F03016"/>
    <w:rsid w:val="00F048AE"/>
    <w:rsid w:val="00F04EF2"/>
    <w:rsid w:val="00F05A8A"/>
    <w:rsid w:val="00F0617F"/>
    <w:rsid w:val="00F0680F"/>
    <w:rsid w:val="00F07FCB"/>
    <w:rsid w:val="00F116FC"/>
    <w:rsid w:val="00F117C2"/>
    <w:rsid w:val="00F11F66"/>
    <w:rsid w:val="00F121AE"/>
    <w:rsid w:val="00F12536"/>
    <w:rsid w:val="00F12CCF"/>
    <w:rsid w:val="00F12D62"/>
    <w:rsid w:val="00F13794"/>
    <w:rsid w:val="00F14B21"/>
    <w:rsid w:val="00F14EA6"/>
    <w:rsid w:val="00F14F09"/>
    <w:rsid w:val="00F15C40"/>
    <w:rsid w:val="00F161C4"/>
    <w:rsid w:val="00F16871"/>
    <w:rsid w:val="00F1693B"/>
    <w:rsid w:val="00F16D88"/>
    <w:rsid w:val="00F17078"/>
    <w:rsid w:val="00F17081"/>
    <w:rsid w:val="00F17568"/>
    <w:rsid w:val="00F20D23"/>
    <w:rsid w:val="00F21A3E"/>
    <w:rsid w:val="00F22079"/>
    <w:rsid w:val="00F220F0"/>
    <w:rsid w:val="00F22FAF"/>
    <w:rsid w:val="00F23102"/>
    <w:rsid w:val="00F243E5"/>
    <w:rsid w:val="00F244FA"/>
    <w:rsid w:val="00F255FB"/>
    <w:rsid w:val="00F263F0"/>
    <w:rsid w:val="00F26E98"/>
    <w:rsid w:val="00F302F6"/>
    <w:rsid w:val="00F31664"/>
    <w:rsid w:val="00F3176E"/>
    <w:rsid w:val="00F3274D"/>
    <w:rsid w:val="00F32D4C"/>
    <w:rsid w:val="00F3336D"/>
    <w:rsid w:val="00F336FC"/>
    <w:rsid w:val="00F33891"/>
    <w:rsid w:val="00F33FED"/>
    <w:rsid w:val="00F35094"/>
    <w:rsid w:val="00F3542B"/>
    <w:rsid w:val="00F35494"/>
    <w:rsid w:val="00F3573D"/>
    <w:rsid w:val="00F359B0"/>
    <w:rsid w:val="00F3676B"/>
    <w:rsid w:val="00F37AB7"/>
    <w:rsid w:val="00F37BFA"/>
    <w:rsid w:val="00F37E84"/>
    <w:rsid w:val="00F40326"/>
    <w:rsid w:val="00F41513"/>
    <w:rsid w:val="00F41AE7"/>
    <w:rsid w:val="00F42031"/>
    <w:rsid w:val="00F42509"/>
    <w:rsid w:val="00F450B4"/>
    <w:rsid w:val="00F45C0A"/>
    <w:rsid w:val="00F45C2B"/>
    <w:rsid w:val="00F462E1"/>
    <w:rsid w:val="00F46454"/>
    <w:rsid w:val="00F465AB"/>
    <w:rsid w:val="00F469D4"/>
    <w:rsid w:val="00F46B9B"/>
    <w:rsid w:val="00F47436"/>
    <w:rsid w:val="00F47A38"/>
    <w:rsid w:val="00F47CC6"/>
    <w:rsid w:val="00F508DD"/>
    <w:rsid w:val="00F50976"/>
    <w:rsid w:val="00F510EB"/>
    <w:rsid w:val="00F53AB5"/>
    <w:rsid w:val="00F53CCF"/>
    <w:rsid w:val="00F53E3E"/>
    <w:rsid w:val="00F53F40"/>
    <w:rsid w:val="00F549BC"/>
    <w:rsid w:val="00F54A26"/>
    <w:rsid w:val="00F555C1"/>
    <w:rsid w:val="00F565B0"/>
    <w:rsid w:val="00F57479"/>
    <w:rsid w:val="00F57D76"/>
    <w:rsid w:val="00F60142"/>
    <w:rsid w:val="00F60712"/>
    <w:rsid w:val="00F614B2"/>
    <w:rsid w:val="00F61860"/>
    <w:rsid w:val="00F625B2"/>
    <w:rsid w:val="00F628EA"/>
    <w:rsid w:val="00F62CF9"/>
    <w:rsid w:val="00F6368C"/>
    <w:rsid w:val="00F636BD"/>
    <w:rsid w:val="00F6444D"/>
    <w:rsid w:val="00F64C11"/>
    <w:rsid w:val="00F65323"/>
    <w:rsid w:val="00F66CF5"/>
    <w:rsid w:val="00F673B1"/>
    <w:rsid w:val="00F67FA3"/>
    <w:rsid w:val="00F7002B"/>
    <w:rsid w:val="00F7059A"/>
    <w:rsid w:val="00F7124C"/>
    <w:rsid w:val="00F720DA"/>
    <w:rsid w:val="00F730C1"/>
    <w:rsid w:val="00F73947"/>
    <w:rsid w:val="00F740B7"/>
    <w:rsid w:val="00F74C9C"/>
    <w:rsid w:val="00F75A91"/>
    <w:rsid w:val="00F7619D"/>
    <w:rsid w:val="00F769CB"/>
    <w:rsid w:val="00F76A30"/>
    <w:rsid w:val="00F76DD6"/>
    <w:rsid w:val="00F77AA5"/>
    <w:rsid w:val="00F801DF"/>
    <w:rsid w:val="00F80C1D"/>
    <w:rsid w:val="00F81C49"/>
    <w:rsid w:val="00F81C81"/>
    <w:rsid w:val="00F81F13"/>
    <w:rsid w:val="00F8220F"/>
    <w:rsid w:val="00F822C5"/>
    <w:rsid w:val="00F824E0"/>
    <w:rsid w:val="00F83256"/>
    <w:rsid w:val="00F83668"/>
    <w:rsid w:val="00F836F3"/>
    <w:rsid w:val="00F83BB6"/>
    <w:rsid w:val="00F83E66"/>
    <w:rsid w:val="00F851EF"/>
    <w:rsid w:val="00F85DA4"/>
    <w:rsid w:val="00F86448"/>
    <w:rsid w:val="00F874AD"/>
    <w:rsid w:val="00F92046"/>
    <w:rsid w:val="00F9224D"/>
    <w:rsid w:val="00F92490"/>
    <w:rsid w:val="00F930A6"/>
    <w:rsid w:val="00F9333C"/>
    <w:rsid w:val="00F93948"/>
    <w:rsid w:val="00F93D1E"/>
    <w:rsid w:val="00F9492D"/>
    <w:rsid w:val="00F9513B"/>
    <w:rsid w:val="00F9531F"/>
    <w:rsid w:val="00F953F7"/>
    <w:rsid w:val="00F960F4"/>
    <w:rsid w:val="00F9624B"/>
    <w:rsid w:val="00F966D2"/>
    <w:rsid w:val="00F96C8D"/>
    <w:rsid w:val="00F97427"/>
    <w:rsid w:val="00F97436"/>
    <w:rsid w:val="00F979C1"/>
    <w:rsid w:val="00F97BDF"/>
    <w:rsid w:val="00F97FBB"/>
    <w:rsid w:val="00FA10C8"/>
    <w:rsid w:val="00FA11F4"/>
    <w:rsid w:val="00FA1AD8"/>
    <w:rsid w:val="00FA2EBC"/>
    <w:rsid w:val="00FA3EB8"/>
    <w:rsid w:val="00FA3F60"/>
    <w:rsid w:val="00FA4029"/>
    <w:rsid w:val="00FA4605"/>
    <w:rsid w:val="00FA4E7E"/>
    <w:rsid w:val="00FA4F87"/>
    <w:rsid w:val="00FA52E1"/>
    <w:rsid w:val="00FA5436"/>
    <w:rsid w:val="00FA5702"/>
    <w:rsid w:val="00FA5ADB"/>
    <w:rsid w:val="00FA6246"/>
    <w:rsid w:val="00FA6B1B"/>
    <w:rsid w:val="00FA7886"/>
    <w:rsid w:val="00FB054C"/>
    <w:rsid w:val="00FB0D9F"/>
    <w:rsid w:val="00FB2155"/>
    <w:rsid w:val="00FB28F2"/>
    <w:rsid w:val="00FB3959"/>
    <w:rsid w:val="00FB3FD2"/>
    <w:rsid w:val="00FB41C7"/>
    <w:rsid w:val="00FB495D"/>
    <w:rsid w:val="00FB4B75"/>
    <w:rsid w:val="00FB5502"/>
    <w:rsid w:val="00FB595F"/>
    <w:rsid w:val="00FB67E8"/>
    <w:rsid w:val="00FB6ADC"/>
    <w:rsid w:val="00FB6CC5"/>
    <w:rsid w:val="00FB7131"/>
    <w:rsid w:val="00FB722F"/>
    <w:rsid w:val="00FB7293"/>
    <w:rsid w:val="00FB7307"/>
    <w:rsid w:val="00FB7315"/>
    <w:rsid w:val="00FB7BDB"/>
    <w:rsid w:val="00FB7FFD"/>
    <w:rsid w:val="00FC003B"/>
    <w:rsid w:val="00FC1115"/>
    <w:rsid w:val="00FC120B"/>
    <w:rsid w:val="00FC1917"/>
    <w:rsid w:val="00FC1EC1"/>
    <w:rsid w:val="00FC213C"/>
    <w:rsid w:val="00FC30C9"/>
    <w:rsid w:val="00FC3632"/>
    <w:rsid w:val="00FC4224"/>
    <w:rsid w:val="00FC434E"/>
    <w:rsid w:val="00FC44F2"/>
    <w:rsid w:val="00FC45F3"/>
    <w:rsid w:val="00FC5C7E"/>
    <w:rsid w:val="00FC656A"/>
    <w:rsid w:val="00FC65E9"/>
    <w:rsid w:val="00FC66A8"/>
    <w:rsid w:val="00FC7E20"/>
    <w:rsid w:val="00FD1288"/>
    <w:rsid w:val="00FD1C28"/>
    <w:rsid w:val="00FD2666"/>
    <w:rsid w:val="00FD2C3F"/>
    <w:rsid w:val="00FD30A3"/>
    <w:rsid w:val="00FD32C6"/>
    <w:rsid w:val="00FD3546"/>
    <w:rsid w:val="00FD3706"/>
    <w:rsid w:val="00FD38E2"/>
    <w:rsid w:val="00FD3A98"/>
    <w:rsid w:val="00FD4021"/>
    <w:rsid w:val="00FD4385"/>
    <w:rsid w:val="00FD4570"/>
    <w:rsid w:val="00FD4CF8"/>
    <w:rsid w:val="00FD520D"/>
    <w:rsid w:val="00FD52A0"/>
    <w:rsid w:val="00FD583D"/>
    <w:rsid w:val="00FD5DF7"/>
    <w:rsid w:val="00FD61B9"/>
    <w:rsid w:val="00FD6A00"/>
    <w:rsid w:val="00FD6AD9"/>
    <w:rsid w:val="00FD6F7E"/>
    <w:rsid w:val="00FD7088"/>
    <w:rsid w:val="00FD7C8D"/>
    <w:rsid w:val="00FE012A"/>
    <w:rsid w:val="00FE0304"/>
    <w:rsid w:val="00FE158A"/>
    <w:rsid w:val="00FE19EE"/>
    <w:rsid w:val="00FE19F9"/>
    <w:rsid w:val="00FE21C1"/>
    <w:rsid w:val="00FE28E4"/>
    <w:rsid w:val="00FE2D0D"/>
    <w:rsid w:val="00FE2F05"/>
    <w:rsid w:val="00FE34F4"/>
    <w:rsid w:val="00FE4BA0"/>
    <w:rsid w:val="00FE5915"/>
    <w:rsid w:val="00FE6714"/>
    <w:rsid w:val="00FE67E3"/>
    <w:rsid w:val="00FE6A61"/>
    <w:rsid w:val="00FE6D72"/>
    <w:rsid w:val="00FE7339"/>
    <w:rsid w:val="00FE743E"/>
    <w:rsid w:val="00FE7768"/>
    <w:rsid w:val="00FE776D"/>
    <w:rsid w:val="00FF002A"/>
    <w:rsid w:val="00FF053C"/>
    <w:rsid w:val="00FF09C3"/>
    <w:rsid w:val="00FF0B8C"/>
    <w:rsid w:val="00FF0E0E"/>
    <w:rsid w:val="00FF1407"/>
    <w:rsid w:val="00FF2E49"/>
    <w:rsid w:val="00FF3253"/>
    <w:rsid w:val="00FF3963"/>
    <w:rsid w:val="00FF3AFF"/>
    <w:rsid w:val="00FF4206"/>
    <w:rsid w:val="00FF4667"/>
    <w:rsid w:val="00FF50CF"/>
    <w:rsid w:val="00FF532B"/>
    <w:rsid w:val="00FF579E"/>
    <w:rsid w:val="00FF68FB"/>
    <w:rsid w:val="00FF6CAE"/>
    <w:rsid w:val="00FF6D3E"/>
    <w:rsid w:val="00FF737E"/>
    <w:rsid w:val="00FF7D6B"/>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B4DE0"/>
  <w15:docId w15:val="{C094D64F-A5FA-498C-A2B2-9A3A29AE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themeColor="text1"/>
        <w:lang w:val="en-AU" w:eastAsia="en-AU" w:bidi="ar-SA"/>
      </w:rPr>
    </w:rPrDefault>
    <w:pPrDefault>
      <w:pPr>
        <w:spacing w:before="200" w:after="200" w:line="26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iPriority="99"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Document Map" w:semiHidden="1" w:uiPriority="3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1D4E"/>
    <w:pPr>
      <w:spacing w:before="0" w:after="120" w:line="240" w:lineRule="auto"/>
    </w:pPr>
  </w:style>
  <w:style w:type="paragraph" w:styleId="Heading1">
    <w:name w:val="heading 1"/>
    <w:basedOn w:val="Normal"/>
    <w:next w:val="BodyText"/>
    <w:link w:val="Heading1Char"/>
    <w:qFormat/>
    <w:rsid w:val="00B84168"/>
    <w:pPr>
      <w:keepNext/>
      <w:numPr>
        <w:numId w:val="13"/>
      </w:numPr>
      <w:spacing w:before="300" w:after="180" w:line="390" w:lineRule="atLeast"/>
      <w:outlineLvl w:val="0"/>
    </w:pPr>
    <w:rPr>
      <w:rFonts w:asciiTheme="majorHAnsi" w:eastAsiaTheme="majorEastAsia" w:hAnsiTheme="majorHAnsi" w:cstheme="majorBidi"/>
      <w:b/>
      <w:bCs/>
      <w:color w:val="3D7EDB" w:themeColor="accent1"/>
      <w:sz w:val="32"/>
      <w:szCs w:val="40"/>
    </w:rPr>
  </w:style>
  <w:style w:type="paragraph" w:styleId="Heading2">
    <w:name w:val="heading 2"/>
    <w:basedOn w:val="Normal"/>
    <w:next w:val="BodyText"/>
    <w:link w:val="Heading2Char"/>
    <w:qFormat/>
    <w:rsid w:val="001C03A8"/>
    <w:pPr>
      <w:keepNext/>
      <w:keepLines/>
      <w:numPr>
        <w:ilvl w:val="1"/>
        <w:numId w:val="13"/>
      </w:numPr>
      <w:spacing w:before="240" w:after="180" w:line="310" w:lineRule="atLeast"/>
      <w:outlineLvl w:val="1"/>
    </w:pPr>
    <w:rPr>
      <w:rFonts w:asciiTheme="majorHAnsi" w:eastAsiaTheme="majorEastAsia" w:hAnsiTheme="majorHAnsi" w:cstheme="majorBidi"/>
      <w:b/>
      <w:bCs/>
      <w:color w:val="3D7EDB" w:themeColor="accent1"/>
      <w:sz w:val="28"/>
      <w:szCs w:val="24"/>
    </w:rPr>
  </w:style>
  <w:style w:type="paragraph" w:styleId="Heading3">
    <w:name w:val="heading 3"/>
    <w:basedOn w:val="Normal"/>
    <w:next w:val="BodyText"/>
    <w:link w:val="Heading3Char"/>
    <w:qFormat/>
    <w:rsid w:val="008B2535"/>
    <w:pPr>
      <w:keepNext/>
      <w:keepLines/>
      <w:spacing w:before="240" w:after="180" w:line="290" w:lineRule="atLeast"/>
      <w:outlineLvl w:val="2"/>
    </w:pPr>
    <w:rPr>
      <w:rFonts w:asciiTheme="majorHAnsi" w:eastAsiaTheme="majorEastAsia" w:hAnsiTheme="majorHAnsi" w:cstheme="majorBidi"/>
      <w:b/>
      <w:bCs/>
      <w:color w:val="3D7EDB" w:themeColor="accent1"/>
      <w:sz w:val="24"/>
    </w:rPr>
  </w:style>
  <w:style w:type="paragraph" w:styleId="Heading4">
    <w:name w:val="heading 4"/>
    <w:basedOn w:val="Normal"/>
    <w:next w:val="Normal"/>
    <w:link w:val="Heading4Char"/>
    <w:qFormat/>
    <w:rsid w:val="00AC0F50"/>
    <w:pPr>
      <w:keepNext/>
      <w:keepLines/>
      <w:outlineLvl w:val="3"/>
    </w:pPr>
    <w:rPr>
      <w:rFonts w:asciiTheme="majorHAnsi" w:eastAsiaTheme="majorEastAsia" w:hAnsiTheme="majorHAnsi" w:cstheme="majorBidi"/>
      <w:b/>
      <w:bCs/>
      <w:iCs/>
      <w:color w:val="3D7EDB" w:themeColor="accent1"/>
      <w:sz w:val="21"/>
    </w:rPr>
  </w:style>
  <w:style w:type="paragraph" w:styleId="Heading5">
    <w:name w:val="heading 5"/>
    <w:basedOn w:val="Normal"/>
    <w:next w:val="Normal"/>
    <w:link w:val="Heading5Char"/>
    <w:qFormat/>
    <w:rsid w:val="00B84168"/>
    <w:pPr>
      <w:keepNext/>
      <w:keepLines/>
      <w:tabs>
        <w:tab w:val="left" w:pos="794"/>
      </w:tabs>
      <w:spacing w:before="240" w:after="180"/>
      <w:outlineLvl w:val="4"/>
    </w:pPr>
    <w:rPr>
      <w:rFonts w:asciiTheme="majorHAnsi" w:eastAsiaTheme="majorEastAsia" w:hAnsiTheme="majorHAnsi" w:cstheme="majorBidi"/>
      <w:b/>
      <w:color w:val="0F204B" w:themeColor="text2"/>
    </w:rPr>
  </w:style>
  <w:style w:type="paragraph" w:styleId="Heading6">
    <w:name w:val="heading 6"/>
    <w:basedOn w:val="Normal"/>
    <w:next w:val="Normal"/>
    <w:link w:val="Heading6Char"/>
    <w:semiHidden/>
    <w:qFormat/>
    <w:rsid w:val="00E05291"/>
    <w:pPr>
      <w:keepNext/>
      <w:keepLines/>
      <w:spacing w:before="250" w:after="40"/>
      <w:outlineLvl w:val="5"/>
    </w:pPr>
    <w:rPr>
      <w:rFonts w:asciiTheme="majorHAnsi" w:eastAsiaTheme="majorEastAsia" w:hAnsiTheme="majorHAnsi" w:cstheme="majorBidi"/>
      <w:i/>
      <w:iCs/>
      <w:color w:val="7FD5C5" w:themeColor="accent3"/>
      <w:spacing w:val="4"/>
      <w:sz w:val="2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sz w:val="24"/>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outlineLvl w:val="7"/>
    </w:pPr>
    <w:rPr>
      <w:rFonts w:asciiTheme="majorHAnsi" w:eastAsiaTheme="majorEastAsia" w:hAnsiTheme="majorHAnsi" w:cs="Arial"/>
      <w:caps/>
      <w:color w:val="0F204B" w:themeColor="text2"/>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5578D"/>
  </w:style>
  <w:style w:type="character" w:customStyle="1" w:styleId="BodyTextChar">
    <w:name w:val="Body Text Char"/>
    <w:basedOn w:val="DefaultParagraphFont"/>
    <w:link w:val="BodyText"/>
    <w:rsid w:val="00E13151"/>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59"/>
    <w:rsid w:val="007953C8"/>
    <w:pPr>
      <w:spacing w:after="0"/>
    </w:pPr>
    <w:rPr>
      <w:bCs/>
      <w:color w:val="3D7EDB" w:themeColor="accent1"/>
      <w:sz w:val="16"/>
    </w:rPr>
  </w:style>
  <w:style w:type="character" w:customStyle="1" w:styleId="FooterChar">
    <w:name w:val="Footer Char"/>
    <w:basedOn w:val="DefaultParagraphFont"/>
    <w:link w:val="Footer"/>
    <w:uiPriority w:val="59"/>
    <w:rsid w:val="007953C8"/>
    <w:rPr>
      <w:bCs/>
      <w:color w:val="3D7EDB" w:themeColor="accent1"/>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59"/>
    <w:rsid w:val="00B72CAA"/>
    <w:pPr>
      <w:tabs>
        <w:tab w:val="left" w:pos="1860"/>
        <w:tab w:val="left" w:pos="2730"/>
      </w:tabs>
      <w:spacing w:after="0"/>
    </w:pPr>
    <w:rPr>
      <w:lang w:val="en-US"/>
    </w:rPr>
  </w:style>
  <w:style w:type="character" w:customStyle="1" w:styleId="HeaderChar">
    <w:name w:val="Header Char"/>
    <w:basedOn w:val="DefaultParagraphFont"/>
    <w:link w:val="Header"/>
    <w:uiPriority w:val="59"/>
    <w:rsid w:val="00146441"/>
    <w:rPr>
      <w:lang w:val="en-US"/>
    </w:rPr>
  </w:style>
  <w:style w:type="character" w:customStyle="1" w:styleId="Heading1Char">
    <w:name w:val="Heading 1 Char"/>
    <w:basedOn w:val="DefaultParagraphFont"/>
    <w:link w:val="Heading1"/>
    <w:rsid w:val="00B84168"/>
    <w:rPr>
      <w:rFonts w:asciiTheme="majorHAnsi" w:eastAsiaTheme="majorEastAsia" w:hAnsiTheme="majorHAnsi" w:cstheme="majorBidi"/>
      <w:b/>
      <w:bCs/>
      <w:color w:val="3D7EDB" w:themeColor="accent1"/>
      <w:sz w:val="32"/>
      <w:szCs w:val="40"/>
    </w:rPr>
  </w:style>
  <w:style w:type="character" w:customStyle="1" w:styleId="Heading2Char">
    <w:name w:val="Heading 2 Char"/>
    <w:basedOn w:val="DefaultParagraphFont"/>
    <w:link w:val="Heading2"/>
    <w:rsid w:val="001C03A8"/>
    <w:rPr>
      <w:rFonts w:asciiTheme="majorHAnsi" w:eastAsiaTheme="majorEastAsia" w:hAnsiTheme="majorHAnsi" w:cstheme="majorBidi"/>
      <w:b/>
      <w:bCs/>
      <w:color w:val="3D7EDB" w:themeColor="accent1"/>
      <w:sz w:val="28"/>
      <w:szCs w:val="24"/>
    </w:rPr>
  </w:style>
  <w:style w:type="character" w:customStyle="1" w:styleId="Heading3Char">
    <w:name w:val="Heading 3 Char"/>
    <w:basedOn w:val="DefaultParagraphFont"/>
    <w:link w:val="Heading3"/>
    <w:rsid w:val="009A7ABE"/>
    <w:rPr>
      <w:rFonts w:asciiTheme="majorHAnsi" w:eastAsiaTheme="majorEastAsia" w:hAnsiTheme="majorHAnsi" w:cstheme="majorBidi"/>
      <w:b/>
      <w:bCs/>
      <w:color w:val="3D7EDB" w:themeColor="accent1"/>
      <w:sz w:val="24"/>
    </w:rPr>
  </w:style>
  <w:style w:type="character" w:customStyle="1" w:styleId="Heading4Char">
    <w:name w:val="Heading 4 Char"/>
    <w:basedOn w:val="DefaultParagraphFont"/>
    <w:link w:val="Heading4"/>
    <w:rsid w:val="00AC0F50"/>
    <w:rPr>
      <w:rFonts w:asciiTheme="majorHAnsi" w:eastAsiaTheme="majorEastAsia" w:hAnsiTheme="majorHAnsi" w:cstheme="majorBidi"/>
      <w:b/>
      <w:bCs/>
      <w:iCs/>
      <w:color w:val="3D7EDB" w:themeColor="accent1"/>
      <w:sz w:val="21"/>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0F204B" w:themeColor="text2"/>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3D7EDB" w:themeColor="hyperlink"/>
      <w:u w:val="single"/>
    </w:rPr>
  </w:style>
  <w:style w:type="character" w:styleId="FollowedHyperlink">
    <w:name w:val="FollowedHyperlink"/>
    <w:basedOn w:val="DefaultParagraphFont"/>
    <w:uiPriority w:val="59"/>
    <w:rsid w:val="0058629F"/>
    <w:rPr>
      <w:color w:val="7030A0"/>
      <w:u w:val="single"/>
    </w:rPr>
  </w:style>
  <w:style w:type="paragraph" w:styleId="ListBullet">
    <w:name w:val="List Bullet"/>
    <w:basedOn w:val="BodyText"/>
    <w:qFormat/>
    <w:rsid w:val="00677F5C"/>
    <w:pPr>
      <w:numPr>
        <w:numId w:val="8"/>
      </w:numPr>
      <w:spacing w:before="60" w:after="60"/>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7F27F2"/>
    <w:pPr>
      <w:spacing w:before="60" w:after="60"/>
      <w:ind w:left="340"/>
    </w:pPr>
  </w:style>
  <w:style w:type="paragraph" w:styleId="ListNumber">
    <w:name w:val="List Number"/>
    <w:basedOn w:val="Normal"/>
    <w:qFormat/>
    <w:rsid w:val="007F27F2"/>
    <w:pPr>
      <w:numPr>
        <w:numId w:val="27"/>
      </w:numPr>
      <w:spacing w:before="120" w:after="60"/>
    </w:pPr>
    <w:rPr>
      <w:rFonts w:eastAsia="MS ??"/>
      <w:b/>
    </w:rPr>
  </w:style>
  <w:style w:type="paragraph" w:styleId="ListNumber2">
    <w:name w:val="List Number 2"/>
    <w:basedOn w:val="ListNumber"/>
    <w:qFormat/>
    <w:rsid w:val="007F27F2"/>
    <w:pPr>
      <w:numPr>
        <w:numId w:val="0"/>
      </w:numPr>
      <w:spacing w:before="60"/>
    </w:pPr>
    <w:rPr>
      <w:b w:val="0"/>
    </w:r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OC5">
    <w:name w:val="toc 5"/>
    <w:basedOn w:val="Normal"/>
    <w:next w:val="Normal"/>
    <w:autoRedefine/>
    <w:uiPriority w:val="39"/>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semiHidden/>
    <w:rsid w:val="0058629F"/>
    <w:pPr>
      <w:spacing w:after="100"/>
      <w:ind w:left="1080"/>
    </w:pPr>
  </w:style>
  <w:style w:type="paragraph" w:styleId="TOC8">
    <w:name w:val="toc 8"/>
    <w:basedOn w:val="Normal"/>
    <w:next w:val="Normal"/>
    <w:autoRedefine/>
    <w:semiHidden/>
    <w:rsid w:val="0058629F"/>
    <w:pPr>
      <w:spacing w:after="100"/>
      <w:ind w:left="1260"/>
    </w:pPr>
  </w:style>
  <w:style w:type="paragraph" w:styleId="ListContinue2">
    <w:name w:val="List Continue 2"/>
    <w:basedOn w:val="ListContinue"/>
    <w:qFormat/>
    <w:rsid w:val="00677F5C"/>
    <w:pPr>
      <w:ind w:left="680"/>
    </w:pPr>
  </w:style>
  <w:style w:type="paragraph" w:styleId="ListContinue3">
    <w:name w:val="List Continue 3"/>
    <w:basedOn w:val="ListContinue2"/>
    <w:qFormat/>
    <w:rsid w:val="00EE1449"/>
    <w:pPr>
      <w:ind w:left="1021"/>
    </w:pPr>
  </w:style>
  <w:style w:type="paragraph" w:styleId="NoSpacing">
    <w:name w:val="No Spacing"/>
    <w:basedOn w:val="Normal"/>
    <w:link w:val="NoSpacingChar"/>
    <w:qFormat/>
    <w:rsid w:val="00104C22"/>
    <w:pPr>
      <w:spacing w:after="0"/>
    </w:pPr>
  </w:style>
  <w:style w:type="paragraph" w:styleId="Date">
    <w:name w:val="Date"/>
    <w:basedOn w:val="Normal"/>
    <w:next w:val="Normal"/>
    <w:link w:val="DateChar"/>
    <w:uiPriority w:val="99"/>
    <w:rsid w:val="006D47C6"/>
    <w:pPr>
      <w:spacing w:before="240"/>
    </w:pPr>
    <w:rPr>
      <w:b/>
      <w:color w:val="3D7EDB" w:themeColor="accent1"/>
      <w:sz w:val="28"/>
      <w:szCs w:val="28"/>
    </w:rPr>
  </w:style>
  <w:style w:type="character" w:customStyle="1" w:styleId="DateChar">
    <w:name w:val="Date Char"/>
    <w:basedOn w:val="DefaultParagraphFont"/>
    <w:link w:val="Date"/>
    <w:uiPriority w:val="99"/>
    <w:rsid w:val="00146441"/>
    <w:rPr>
      <w:b/>
      <w:color w:val="3D7EDB" w:themeColor="accent1"/>
      <w:sz w:val="28"/>
      <w:szCs w:val="28"/>
    </w:rPr>
  </w:style>
  <w:style w:type="paragraph" w:customStyle="1" w:styleId="TableofFiguresHeading">
    <w:name w:val="Table of Figures Heading"/>
    <w:basedOn w:val="Normal"/>
    <w:uiPriority w:val="99"/>
    <w:semiHidden/>
    <w:rsid w:val="0058629F"/>
    <w:pPr>
      <w:spacing w:before="240"/>
    </w:pPr>
    <w:rPr>
      <w:b/>
      <w:bCs/>
      <w:noProof/>
    </w:rPr>
  </w:style>
  <w:style w:type="character" w:customStyle="1" w:styleId="Heading5Char">
    <w:name w:val="Heading 5 Char"/>
    <w:basedOn w:val="DefaultParagraphFont"/>
    <w:link w:val="Heading5"/>
    <w:rsid w:val="00B84168"/>
    <w:rPr>
      <w:rFonts w:asciiTheme="majorHAnsi" w:eastAsiaTheme="majorEastAsia" w:hAnsiTheme="majorHAnsi" w:cstheme="majorBidi"/>
      <w:b/>
      <w:color w:val="0F204B" w:themeColor="text2"/>
    </w:rPr>
  </w:style>
  <w:style w:type="character" w:customStyle="1" w:styleId="Heading6Char">
    <w:name w:val="Heading 6 Char"/>
    <w:basedOn w:val="DefaultParagraphFont"/>
    <w:link w:val="Heading6"/>
    <w:semiHidden/>
    <w:rsid w:val="00E05291"/>
    <w:rPr>
      <w:rFonts w:asciiTheme="majorHAnsi" w:eastAsiaTheme="majorEastAsia" w:hAnsiTheme="majorHAnsi" w:cstheme="majorBidi"/>
      <w:i/>
      <w:iCs/>
      <w:color w:val="7FD5C5" w:themeColor="accent3"/>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paragraph" w:customStyle="1" w:styleId="ListAlpha">
    <w:name w:val="List Alpha"/>
    <w:basedOn w:val="Normal"/>
    <w:qFormat/>
    <w:rsid w:val="00677F5C"/>
    <w:pPr>
      <w:numPr>
        <w:numId w:val="5"/>
      </w:numPr>
      <w:spacing w:after="100"/>
    </w:pPr>
  </w:style>
  <w:style w:type="table" w:styleId="PlainTable2">
    <w:name w:val="Plain Table 2"/>
    <w:basedOn w:val="TableNormal"/>
    <w:uiPriority w:val="42"/>
    <w:rsid w:val="0058629F"/>
    <w:pPr>
      <w:spacing w:line="240" w:lineRule="exact"/>
    </w:pPr>
    <w:tblPr>
      <w:tblStyleRowBandSize w:val="1"/>
      <w:tblStyleColBandSize w:val="1"/>
      <w:tblBorders>
        <w:top w:val="single" w:sz="4" w:space="0" w:color="7F7F7F" w:themeColor="text1" w:themeTint="80"/>
        <w:bottom w:val="single" w:sz="4" w:space="0" w:color="7F7F7F" w:themeColor="text1" w:themeTint="80"/>
      </w:tblBorders>
      <w:tblCellMar>
        <w:top w:w="227" w:type="dxa"/>
        <w:bottom w:w="227"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next w:val="Normal"/>
    <w:uiPriority w:val="39"/>
    <w:qFormat/>
    <w:rsid w:val="00EE45E7"/>
    <w:pPr>
      <w:pageBreakBefore/>
      <w:spacing w:after="480" w:line="390" w:lineRule="atLeast"/>
    </w:pPr>
    <w:rPr>
      <w:rFonts w:asciiTheme="majorHAnsi" w:hAnsiTheme="majorHAnsi" w:cs="Arial"/>
      <w:b/>
      <w:bCs/>
      <w:color w:val="3D7EDB" w:themeColor="accent1"/>
      <w:spacing w:val="-2"/>
      <w:sz w:val="32"/>
    </w:rPr>
  </w:style>
  <w:style w:type="paragraph" w:styleId="TOC1">
    <w:name w:val="toc 1"/>
    <w:basedOn w:val="Normal"/>
    <w:next w:val="Normal"/>
    <w:link w:val="TOC1Char"/>
    <w:autoRedefine/>
    <w:uiPriority w:val="39"/>
    <w:rsid w:val="00682403"/>
    <w:pPr>
      <w:pBdr>
        <w:bottom w:val="single" w:sz="4" w:space="1" w:color="0F204B" w:themeColor="text2"/>
        <w:between w:val="single" w:sz="4" w:space="1" w:color="0F204B" w:themeColor="text2"/>
      </w:pBdr>
      <w:tabs>
        <w:tab w:val="left" w:pos="426"/>
        <w:tab w:val="right" w:pos="9639"/>
      </w:tabs>
      <w:spacing w:before="240" w:line="292" w:lineRule="atLeast"/>
      <w:contextualSpacing/>
    </w:pPr>
    <w:rPr>
      <w:b/>
      <w:noProof/>
      <w:color w:val="0F204B" w:themeColor="text2"/>
      <w:szCs w:val="18"/>
    </w:rPr>
  </w:style>
  <w:style w:type="paragraph" w:styleId="TOC2">
    <w:name w:val="toc 2"/>
    <w:basedOn w:val="Normal"/>
    <w:next w:val="Normal"/>
    <w:autoRedefine/>
    <w:uiPriority w:val="39"/>
    <w:rsid w:val="002526A5"/>
    <w:pPr>
      <w:pBdr>
        <w:bottom w:val="single" w:sz="4" w:space="1" w:color="F5F9FD" w:themeColor="background2"/>
      </w:pBdr>
      <w:tabs>
        <w:tab w:val="left" w:pos="426"/>
        <w:tab w:val="right" w:pos="9639"/>
      </w:tabs>
      <w:spacing w:before="60" w:after="60" w:line="292" w:lineRule="atLeast"/>
      <w:ind w:right="567"/>
    </w:pPr>
    <w:rPr>
      <w:rFonts w:eastAsiaTheme="minorEastAsia" w:cstheme="minorBidi"/>
      <w:bCs/>
      <w:noProof/>
      <w:color w:val="0F204B" w:themeColor="accent6"/>
    </w:rPr>
  </w:style>
  <w:style w:type="table" w:customStyle="1" w:styleId="TablePlaceholder">
    <w:name w:val="Table Placeholder"/>
    <w:basedOn w:val="TableNormal"/>
    <w:uiPriority w:val="99"/>
    <w:rsid w:val="0058629F"/>
    <w:pPr>
      <w:spacing w:line="240" w:lineRule="auto"/>
    </w:pPr>
    <w:tblPr>
      <w:tblCellMar>
        <w:left w:w="0" w:type="dxa"/>
        <w:right w:w="0" w:type="dxa"/>
      </w:tblCellMar>
    </w:tblPr>
  </w:style>
  <w:style w:type="paragraph" w:styleId="FootnoteText">
    <w:name w:val="footnote text"/>
    <w:basedOn w:val="Normal"/>
    <w:link w:val="FootnoteTextChar"/>
    <w:uiPriority w:val="2"/>
    <w:rsid w:val="009719C6"/>
    <w:pPr>
      <w:keepLines/>
      <w:tabs>
        <w:tab w:val="left" w:pos="170"/>
      </w:tabs>
      <w:spacing w:before="90" w:after="0" w:line="210" w:lineRule="atLeast"/>
      <w:ind w:left="170" w:hanging="170"/>
    </w:pPr>
    <w:rPr>
      <w:sz w:val="17"/>
    </w:rPr>
  </w:style>
  <w:style w:type="character" w:styleId="FootnoteReference">
    <w:name w:val="footnote reference"/>
    <w:basedOn w:val="DefaultParagraphFont"/>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8E5F7" w:themeFill="accent1" w:themeFillTint="33"/>
    </w:tcPr>
    <w:tblStylePr w:type="firstRow">
      <w:rPr>
        <w:b/>
        <w:bCs/>
      </w:rPr>
      <w:tblPr/>
      <w:tcPr>
        <w:shd w:val="clear" w:color="auto" w:fill="B1CBF0" w:themeFill="accent1" w:themeFillTint="66"/>
      </w:tcPr>
    </w:tblStylePr>
    <w:tblStylePr w:type="lastRow">
      <w:rPr>
        <w:b/>
        <w:bCs/>
        <w:color w:val="000000" w:themeColor="text1"/>
      </w:rPr>
      <w:tblPr/>
      <w:tcPr>
        <w:shd w:val="clear" w:color="auto" w:fill="B1CBF0" w:themeFill="accent1" w:themeFillTint="66"/>
      </w:tcPr>
    </w:tblStylePr>
    <w:tblStylePr w:type="firstCol">
      <w:rPr>
        <w:color w:val="FFFFFF" w:themeColor="background1"/>
      </w:rPr>
      <w:tblPr/>
      <w:tcPr>
        <w:shd w:val="clear" w:color="auto" w:fill="205BB0" w:themeFill="accent1" w:themeFillShade="BF"/>
      </w:tcPr>
    </w:tblStylePr>
    <w:tblStylePr w:type="lastCol">
      <w:rPr>
        <w:color w:val="FFFFFF" w:themeColor="background1"/>
      </w:rPr>
      <w:tblPr/>
      <w:tcPr>
        <w:shd w:val="clear" w:color="auto" w:fill="205BB0" w:themeFill="accent1" w:themeFillShade="BF"/>
      </w:tcPr>
    </w:tblStylePr>
    <w:tblStylePr w:type="band1Vert">
      <w:tblPr/>
      <w:tcPr>
        <w:shd w:val="clear" w:color="auto" w:fill="9EBEED" w:themeFill="accent1" w:themeFillTint="7F"/>
      </w:tcPr>
    </w:tblStylePr>
    <w:tblStylePr w:type="band1Horz">
      <w:tblPr/>
      <w:tcPr>
        <w:shd w:val="clear" w:color="auto" w:fill="9EBEED"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3F5FA" w:themeFill="accent2" w:themeFillTint="33"/>
    </w:tcPr>
    <w:tblStylePr w:type="firstRow">
      <w:rPr>
        <w:b/>
        <w:bCs/>
      </w:rPr>
      <w:tblPr/>
      <w:tcPr>
        <w:shd w:val="clear" w:color="auto" w:fill="C7ECF6" w:themeFill="accent2" w:themeFillTint="66"/>
      </w:tcPr>
    </w:tblStylePr>
    <w:tblStylePr w:type="lastRow">
      <w:rPr>
        <w:b/>
        <w:bCs/>
        <w:color w:val="000000" w:themeColor="text1"/>
      </w:rPr>
      <w:tblPr/>
      <w:tcPr>
        <w:shd w:val="clear" w:color="auto" w:fill="C7ECF6" w:themeFill="accent2" w:themeFillTint="66"/>
      </w:tcPr>
    </w:tblStylePr>
    <w:tblStylePr w:type="firstCol">
      <w:rPr>
        <w:color w:val="FFFFFF" w:themeColor="background1"/>
      </w:rPr>
      <w:tblPr/>
      <w:tcPr>
        <w:shd w:val="clear" w:color="auto" w:fill="27B7DE" w:themeFill="accent2" w:themeFillShade="BF"/>
      </w:tcPr>
    </w:tblStylePr>
    <w:tblStylePr w:type="lastCol">
      <w:rPr>
        <w:color w:val="FFFFFF" w:themeColor="background1"/>
      </w:rPr>
      <w:tblPr/>
      <w:tcPr>
        <w:shd w:val="clear" w:color="auto" w:fill="27B7DE" w:themeFill="accent2" w:themeFillShade="BF"/>
      </w:tcPr>
    </w:tblStylePr>
    <w:tblStylePr w:type="band1Vert">
      <w:tblPr/>
      <w:tcPr>
        <w:shd w:val="clear" w:color="auto" w:fill="B9E7F4" w:themeFill="accent2" w:themeFillTint="7F"/>
      </w:tcPr>
    </w:tblStylePr>
    <w:tblStylePr w:type="band1Horz">
      <w:tblPr/>
      <w:tcPr>
        <w:shd w:val="clear" w:color="auto" w:fill="B9E7F4"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5F6F3" w:themeFill="accent3" w:themeFillTint="33"/>
    </w:tcPr>
    <w:tblStylePr w:type="firstRow">
      <w:rPr>
        <w:b/>
        <w:bCs/>
      </w:rPr>
      <w:tblPr/>
      <w:tcPr>
        <w:shd w:val="clear" w:color="auto" w:fill="CBEEE7" w:themeFill="accent3" w:themeFillTint="66"/>
      </w:tcPr>
    </w:tblStylePr>
    <w:tblStylePr w:type="lastRow">
      <w:rPr>
        <w:b/>
        <w:bCs/>
        <w:color w:val="000000" w:themeColor="text1"/>
      </w:rPr>
      <w:tblPr/>
      <w:tcPr>
        <w:shd w:val="clear" w:color="auto" w:fill="CBEEE7" w:themeFill="accent3" w:themeFillTint="66"/>
      </w:tcPr>
    </w:tblStylePr>
    <w:tblStylePr w:type="firstCol">
      <w:rPr>
        <w:color w:val="FFFFFF" w:themeColor="background1"/>
      </w:rPr>
      <w:tblPr/>
      <w:tcPr>
        <w:shd w:val="clear" w:color="auto" w:fill="3FBFA7" w:themeFill="accent3" w:themeFillShade="BF"/>
      </w:tcPr>
    </w:tblStylePr>
    <w:tblStylePr w:type="lastCol">
      <w:rPr>
        <w:color w:val="FFFFFF" w:themeColor="background1"/>
      </w:rPr>
      <w:tblPr/>
      <w:tcPr>
        <w:shd w:val="clear" w:color="auto" w:fill="3FBFA7" w:themeFill="accent3" w:themeFillShade="BF"/>
      </w:tcPr>
    </w:tblStylePr>
    <w:tblStylePr w:type="band1Vert">
      <w:tblPr/>
      <w:tcPr>
        <w:shd w:val="clear" w:color="auto" w:fill="BFEAE2" w:themeFill="accent3" w:themeFillTint="7F"/>
      </w:tcPr>
    </w:tblStylePr>
    <w:tblStylePr w:type="band1Horz">
      <w:tblPr/>
      <w:tcPr>
        <w:shd w:val="clear" w:color="auto" w:fill="BFEAE2"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EF6E3" w:themeFill="accent4" w:themeFillTint="33"/>
    </w:tcPr>
    <w:tblStylePr w:type="firstRow">
      <w:rPr>
        <w:b/>
        <w:bCs/>
      </w:rPr>
      <w:tblPr/>
      <w:tcPr>
        <w:shd w:val="clear" w:color="auto" w:fill="FDEDC7" w:themeFill="accent4" w:themeFillTint="66"/>
      </w:tcPr>
    </w:tblStylePr>
    <w:tblStylePr w:type="lastRow">
      <w:rPr>
        <w:b/>
        <w:bCs/>
        <w:color w:val="000000" w:themeColor="text1"/>
      </w:rPr>
      <w:tblPr/>
      <w:tcPr>
        <w:shd w:val="clear" w:color="auto" w:fill="FDEDC7" w:themeFill="accent4" w:themeFillTint="66"/>
      </w:tcPr>
    </w:tblStylePr>
    <w:tblStylePr w:type="firstCol">
      <w:rPr>
        <w:color w:val="FFFFFF" w:themeColor="background1"/>
      </w:rPr>
      <w:tblPr/>
      <w:tcPr>
        <w:shd w:val="clear" w:color="auto" w:fill="F8B71B" w:themeFill="accent4" w:themeFillShade="BF"/>
      </w:tcPr>
    </w:tblStylePr>
    <w:tblStylePr w:type="lastCol">
      <w:rPr>
        <w:color w:val="FFFFFF" w:themeColor="background1"/>
      </w:rPr>
      <w:tblPr/>
      <w:tcPr>
        <w:shd w:val="clear" w:color="auto" w:fill="F8B71B" w:themeFill="accent4" w:themeFillShade="BF"/>
      </w:tcPr>
    </w:tblStylePr>
    <w:tblStylePr w:type="band1Vert">
      <w:tblPr/>
      <w:tcPr>
        <w:shd w:val="clear" w:color="auto" w:fill="FDE9BA" w:themeFill="accent4" w:themeFillTint="7F"/>
      </w:tcPr>
    </w:tblStylePr>
    <w:tblStylePr w:type="band1Horz">
      <w:tblPr/>
      <w:tcPr>
        <w:shd w:val="clear" w:color="auto" w:fill="FDE9BA"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BEBE7" w:themeFill="accent5" w:themeFillTint="33"/>
    </w:tcPr>
    <w:tblStylePr w:type="firstRow">
      <w:rPr>
        <w:b/>
        <w:bCs/>
      </w:rPr>
      <w:tblPr/>
      <w:tcPr>
        <w:shd w:val="clear" w:color="auto" w:fill="F7D8CF" w:themeFill="accent5" w:themeFillTint="66"/>
      </w:tcPr>
    </w:tblStylePr>
    <w:tblStylePr w:type="lastRow">
      <w:rPr>
        <w:b/>
        <w:bCs/>
        <w:color w:val="000000" w:themeColor="text1"/>
      </w:rPr>
      <w:tblPr/>
      <w:tcPr>
        <w:shd w:val="clear" w:color="auto" w:fill="F7D8CF" w:themeFill="accent5" w:themeFillTint="66"/>
      </w:tcPr>
    </w:tblStylePr>
    <w:tblStylePr w:type="firstCol">
      <w:rPr>
        <w:color w:val="FFFFFF" w:themeColor="background1"/>
      </w:rPr>
      <w:tblPr/>
      <w:tcPr>
        <w:shd w:val="clear" w:color="auto" w:fill="DD5E38" w:themeFill="accent5" w:themeFillShade="BF"/>
      </w:tcPr>
    </w:tblStylePr>
    <w:tblStylePr w:type="lastCol">
      <w:rPr>
        <w:color w:val="FFFFFF" w:themeColor="background1"/>
      </w:rPr>
      <w:tblPr/>
      <w:tcPr>
        <w:shd w:val="clear" w:color="auto" w:fill="DD5E38" w:themeFill="accent5" w:themeFillShade="BF"/>
      </w:tcPr>
    </w:tblStylePr>
    <w:tblStylePr w:type="band1Vert">
      <w:tblPr/>
      <w:tcPr>
        <w:shd w:val="clear" w:color="auto" w:fill="F5CFC4" w:themeFill="accent5" w:themeFillTint="7F"/>
      </w:tcPr>
    </w:tblStylePr>
    <w:tblStylePr w:type="band1Horz">
      <w:tblPr/>
      <w:tcPr>
        <w:shd w:val="clear" w:color="auto" w:fill="F5CFC4"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B9C8F1" w:themeFill="accent6" w:themeFillTint="33"/>
    </w:tcPr>
    <w:tblStylePr w:type="firstRow">
      <w:rPr>
        <w:b/>
        <w:bCs/>
      </w:rPr>
      <w:tblPr/>
      <w:tcPr>
        <w:shd w:val="clear" w:color="auto" w:fill="7392E3" w:themeFill="accent6" w:themeFillTint="66"/>
      </w:tcPr>
    </w:tblStylePr>
    <w:tblStylePr w:type="lastRow">
      <w:rPr>
        <w:b/>
        <w:bCs/>
        <w:color w:val="000000" w:themeColor="text1"/>
      </w:rPr>
      <w:tblPr/>
      <w:tcPr>
        <w:shd w:val="clear" w:color="auto" w:fill="7392E3" w:themeFill="accent6" w:themeFillTint="66"/>
      </w:tcPr>
    </w:tblStylePr>
    <w:tblStylePr w:type="firstCol">
      <w:rPr>
        <w:color w:val="FFFFFF" w:themeColor="background1"/>
      </w:rPr>
      <w:tblPr/>
      <w:tcPr>
        <w:shd w:val="clear" w:color="auto" w:fill="0B1738" w:themeFill="accent6" w:themeFillShade="BF"/>
      </w:tcPr>
    </w:tblStylePr>
    <w:tblStylePr w:type="lastCol">
      <w:rPr>
        <w:color w:val="FFFFFF" w:themeColor="background1"/>
      </w:rPr>
      <w:tblPr/>
      <w:tcPr>
        <w:shd w:val="clear" w:color="auto" w:fill="0B1738" w:themeFill="accent6" w:themeFillShade="BF"/>
      </w:tcPr>
    </w:tblStylePr>
    <w:tblStylePr w:type="band1Vert">
      <w:tblPr/>
      <w:tcPr>
        <w:shd w:val="clear" w:color="auto" w:fill="5077DC" w:themeFill="accent6" w:themeFillTint="7F"/>
      </w:tcPr>
    </w:tblStylePr>
    <w:tblStylePr w:type="band1Horz">
      <w:tblPr/>
      <w:tcPr>
        <w:shd w:val="clear" w:color="auto" w:fill="5077DC"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7BCE0" w:themeFill="accent2" w:themeFillShade="CC"/>
      </w:tcPr>
    </w:tblStylePr>
    <w:tblStylePr w:type="lastRow">
      <w:rPr>
        <w:b/>
        <w:bCs/>
        <w:color w:val="37BC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EBF2FB" w:themeFill="accent1" w:themeFillTint="19"/>
    </w:tcPr>
    <w:tblStylePr w:type="firstRow">
      <w:rPr>
        <w:b/>
        <w:bCs/>
        <w:color w:val="FFFFFF" w:themeColor="background1"/>
      </w:rPr>
      <w:tblPr/>
      <w:tcPr>
        <w:tcBorders>
          <w:bottom w:val="single" w:sz="12" w:space="0" w:color="FFFFFF" w:themeColor="background1"/>
        </w:tcBorders>
        <w:shd w:val="clear" w:color="auto" w:fill="37BCE0" w:themeFill="accent2" w:themeFillShade="CC"/>
      </w:tcPr>
    </w:tblStylePr>
    <w:tblStylePr w:type="lastRow">
      <w:rPr>
        <w:b/>
        <w:bCs/>
        <w:color w:val="37BC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EF6" w:themeFill="accent1" w:themeFillTint="3F"/>
      </w:tcPr>
    </w:tblStylePr>
    <w:tblStylePr w:type="band1Horz">
      <w:tblPr/>
      <w:tcPr>
        <w:shd w:val="clear" w:color="auto" w:fill="D8E5F7"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F1FAFD" w:themeFill="accent2" w:themeFillTint="19"/>
    </w:tcPr>
    <w:tblStylePr w:type="firstRow">
      <w:rPr>
        <w:b/>
        <w:bCs/>
        <w:color w:val="FFFFFF" w:themeColor="background1"/>
      </w:rPr>
      <w:tblPr/>
      <w:tcPr>
        <w:tcBorders>
          <w:bottom w:val="single" w:sz="12" w:space="0" w:color="FFFFFF" w:themeColor="background1"/>
        </w:tcBorders>
        <w:shd w:val="clear" w:color="auto" w:fill="37BCE0" w:themeFill="accent2" w:themeFillShade="CC"/>
      </w:tcPr>
    </w:tblStylePr>
    <w:tblStylePr w:type="lastRow">
      <w:rPr>
        <w:b/>
        <w:bCs/>
        <w:color w:val="37BC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3F9" w:themeFill="accent2" w:themeFillTint="3F"/>
      </w:tcPr>
    </w:tblStylePr>
    <w:tblStylePr w:type="band1Horz">
      <w:tblPr/>
      <w:tcPr>
        <w:shd w:val="clear" w:color="auto" w:fill="E3F5FA"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F2FBF9" w:themeFill="accent3" w:themeFillTint="19"/>
    </w:tcPr>
    <w:tblStylePr w:type="firstRow">
      <w:rPr>
        <w:b/>
        <w:bCs/>
        <w:color w:val="FFFFFF" w:themeColor="background1"/>
      </w:rPr>
      <w:tblPr/>
      <w:tcPr>
        <w:tcBorders>
          <w:bottom w:val="single" w:sz="12" w:space="0" w:color="FFFFFF" w:themeColor="background1"/>
        </w:tcBorders>
        <w:shd w:val="clear" w:color="auto" w:fill="F9BD2E" w:themeFill="accent4" w:themeFillShade="CC"/>
      </w:tcPr>
    </w:tblStylePr>
    <w:tblStylePr w:type="lastRow">
      <w:rPr>
        <w:b/>
        <w:bCs/>
        <w:color w:val="F9BD2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4F0" w:themeFill="accent3" w:themeFillTint="3F"/>
      </w:tcPr>
    </w:tblStylePr>
    <w:tblStylePr w:type="band1Horz">
      <w:tblPr/>
      <w:tcPr>
        <w:shd w:val="clear" w:color="auto" w:fill="E5F6F3"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FEFAF1" w:themeFill="accent4" w:themeFillTint="19"/>
    </w:tcPr>
    <w:tblStylePr w:type="firstRow">
      <w:rPr>
        <w:b/>
        <w:bCs/>
        <w:color w:val="FFFFFF" w:themeColor="background1"/>
      </w:rPr>
      <w:tblPr/>
      <w:tcPr>
        <w:tcBorders>
          <w:bottom w:val="single" w:sz="12" w:space="0" w:color="FFFFFF" w:themeColor="background1"/>
        </w:tcBorders>
        <w:shd w:val="clear" w:color="auto" w:fill="4BC4AD" w:themeFill="accent3" w:themeFillShade="CC"/>
      </w:tcPr>
    </w:tblStylePr>
    <w:tblStylePr w:type="lastRow">
      <w:rPr>
        <w:b/>
        <w:bCs/>
        <w:color w:val="4BC4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4DC" w:themeFill="accent4" w:themeFillTint="3F"/>
      </w:tcPr>
    </w:tblStylePr>
    <w:tblStylePr w:type="band1Horz">
      <w:tblPr/>
      <w:tcPr>
        <w:shd w:val="clear" w:color="auto" w:fill="FEF6E3"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FDF5F3" w:themeFill="accent5" w:themeFillTint="19"/>
    </w:tcPr>
    <w:tblStylePr w:type="firstRow">
      <w:rPr>
        <w:b/>
        <w:bCs/>
        <w:color w:val="FFFFFF" w:themeColor="background1"/>
      </w:rPr>
      <w:tblPr/>
      <w:tcPr>
        <w:tcBorders>
          <w:bottom w:val="single" w:sz="12" w:space="0" w:color="FFFFFF" w:themeColor="background1"/>
        </w:tcBorders>
        <w:shd w:val="clear" w:color="auto" w:fill="0C193C" w:themeFill="accent6" w:themeFillShade="CC"/>
      </w:tcPr>
    </w:tblStylePr>
    <w:tblStylePr w:type="lastRow">
      <w:rPr>
        <w:b/>
        <w:bCs/>
        <w:color w:val="0C193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7E1" w:themeFill="accent5" w:themeFillTint="3F"/>
      </w:tcPr>
    </w:tblStylePr>
    <w:tblStylePr w:type="band1Horz">
      <w:tblPr/>
      <w:tcPr>
        <w:shd w:val="clear" w:color="auto" w:fill="FBEBE7"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DCE4F8" w:themeFill="accent6" w:themeFillTint="19"/>
    </w:tcPr>
    <w:tblStylePr w:type="firstRow">
      <w:rPr>
        <w:b/>
        <w:bCs/>
        <w:color w:val="FFFFFF" w:themeColor="background1"/>
      </w:rPr>
      <w:tblPr/>
      <w:tcPr>
        <w:tcBorders>
          <w:bottom w:val="single" w:sz="12" w:space="0" w:color="FFFFFF" w:themeColor="background1"/>
        </w:tcBorders>
        <w:shd w:val="clear" w:color="auto" w:fill="E06C49" w:themeFill="accent5" w:themeFillShade="CC"/>
      </w:tcPr>
    </w:tblStylePr>
    <w:tblStylePr w:type="lastRow">
      <w:rPr>
        <w:b/>
        <w:bCs/>
        <w:color w:val="E06C4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BBED" w:themeFill="accent6" w:themeFillTint="3F"/>
      </w:tcPr>
    </w:tblStylePr>
    <w:tblStylePr w:type="band1Horz">
      <w:tblPr/>
      <w:tcPr>
        <w:shd w:val="clear" w:color="auto" w:fill="B9C8F1"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74D1E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4D1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74D1EA" w:themeColor="accent2"/>
        <w:left w:val="single" w:sz="4" w:space="0" w:color="3D7EDB" w:themeColor="accent1"/>
        <w:bottom w:val="single" w:sz="4" w:space="0" w:color="3D7EDB" w:themeColor="accent1"/>
        <w:right w:val="single" w:sz="4" w:space="0" w:color="3D7EDB" w:themeColor="accent1"/>
        <w:insideH w:val="single" w:sz="4" w:space="0" w:color="FFFFFF" w:themeColor="background1"/>
        <w:insideV w:val="single" w:sz="4" w:space="0" w:color="FFFFFF" w:themeColor="background1"/>
      </w:tblBorders>
    </w:tblPr>
    <w:tcPr>
      <w:shd w:val="clear" w:color="auto" w:fill="EBF2FB" w:themeFill="accent1" w:themeFillTint="19"/>
    </w:tcPr>
    <w:tblStylePr w:type="firstRow">
      <w:rPr>
        <w:b/>
        <w:bCs/>
      </w:rPr>
      <w:tblPr/>
      <w:tcPr>
        <w:tcBorders>
          <w:top w:val="nil"/>
          <w:left w:val="nil"/>
          <w:bottom w:val="single" w:sz="24" w:space="0" w:color="74D1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498D" w:themeFill="accent1" w:themeFillShade="99"/>
      </w:tcPr>
    </w:tblStylePr>
    <w:tblStylePr w:type="firstCol">
      <w:rPr>
        <w:color w:val="FFFFFF" w:themeColor="background1"/>
      </w:rPr>
      <w:tblPr/>
      <w:tcPr>
        <w:tcBorders>
          <w:top w:val="nil"/>
          <w:left w:val="nil"/>
          <w:bottom w:val="nil"/>
          <w:right w:val="nil"/>
          <w:insideH w:val="single" w:sz="4" w:space="0" w:color="1A498D" w:themeColor="accent1" w:themeShade="99"/>
          <w:insideV w:val="nil"/>
        </w:tcBorders>
        <w:shd w:val="clear" w:color="auto" w:fill="1A498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A498D" w:themeFill="accent1" w:themeFillShade="99"/>
      </w:tcPr>
    </w:tblStylePr>
    <w:tblStylePr w:type="band1Vert">
      <w:tblPr/>
      <w:tcPr>
        <w:shd w:val="clear" w:color="auto" w:fill="B1CBF0" w:themeFill="accent1" w:themeFillTint="66"/>
      </w:tcPr>
    </w:tblStylePr>
    <w:tblStylePr w:type="band1Horz">
      <w:tblPr/>
      <w:tcPr>
        <w:shd w:val="clear" w:color="auto" w:fill="9EBEE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74D1EA" w:themeColor="accent2"/>
        <w:left w:val="single" w:sz="4" w:space="0" w:color="74D1EA" w:themeColor="accent2"/>
        <w:bottom w:val="single" w:sz="4" w:space="0" w:color="74D1EA" w:themeColor="accent2"/>
        <w:right w:val="single" w:sz="4" w:space="0" w:color="74D1EA" w:themeColor="accent2"/>
        <w:insideH w:val="single" w:sz="4" w:space="0" w:color="FFFFFF" w:themeColor="background1"/>
        <w:insideV w:val="single" w:sz="4" w:space="0" w:color="FFFFFF" w:themeColor="background1"/>
      </w:tblBorders>
    </w:tblPr>
    <w:tcPr>
      <w:shd w:val="clear" w:color="auto" w:fill="F1FAFD" w:themeFill="accent2" w:themeFillTint="19"/>
    </w:tcPr>
    <w:tblStylePr w:type="firstRow">
      <w:rPr>
        <w:b/>
        <w:bCs/>
      </w:rPr>
      <w:tblPr/>
      <w:tcPr>
        <w:tcBorders>
          <w:top w:val="nil"/>
          <w:left w:val="nil"/>
          <w:bottom w:val="single" w:sz="24" w:space="0" w:color="74D1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94B6" w:themeFill="accent2" w:themeFillShade="99"/>
      </w:tcPr>
    </w:tblStylePr>
    <w:tblStylePr w:type="firstCol">
      <w:rPr>
        <w:color w:val="FFFFFF" w:themeColor="background1"/>
      </w:rPr>
      <w:tblPr/>
      <w:tcPr>
        <w:tcBorders>
          <w:top w:val="nil"/>
          <w:left w:val="nil"/>
          <w:bottom w:val="nil"/>
          <w:right w:val="nil"/>
          <w:insideH w:val="single" w:sz="4" w:space="0" w:color="1B94B6" w:themeColor="accent2" w:themeShade="99"/>
          <w:insideV w:val="nil"/>
        </w:tcBorders>
        <w:shd w:val="clear" w:color="auto" w:fill="1B94B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94B6" w:themeFill="accent2" w:themeFillShade="99"/>
      </w:tcPr>
    </w:tblStylePr>
    <w:tblStylePr w:type="band1Vert">
      <w:tblPr/>
      <w:tcPr>
        <w:shd w:val="clear" w:color="auto" w:fill="C7ECF6" w:themeFill="accent2" w:themeFillTint="66"/>
      </w:tcPr>
    </w:tblStylePr>
    <w:tblStylePr w:type="band1Horz">
      <w:tblPr/>
      <w:tcPr>
        <w:shd w:val="clear" w:color="auto" w:fill="B9E7F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FBD476" w:themeColor="accent4"/>
        <w:left w:val="single" w:sz="4" w:space="0" w:color="7FD5C5" w:themeColor="accent3"/>
        <w:bottom w:val="single" w:sz="4" w:space="0" w:color="7FD5C5" w:themeColor="accent3"/>
        <w:right w:val="single" w:sz="4" w:space="0" w:color="7FD5C5" w:themeColor="accent3"/>
        <w:insideH w:val="single" w:sz="4" w:space="0" w:color="FFFFFF" w:themeColor="background1"/>
        <w:insideV w:val="single" w:sz="4" w:space="0" w:color="FFFFFF" w:themeColor="background1"/>
      </w:tblBorders>
    </w:tblPr>
    <w:tcPr>
      <w:shd w:val="clear" w:color="auto" w:fill="F2FBF9" w:themeFill="accent3" w:themeFillTint="19"/>
    </w:tcPr>
    <w:tblStylePr w:type="firstRow">
      <w:rPr>
        <w:b/>
        <w:bCs/>
      </w:rPr>
      <w:tblPr/>
      <w:tcPr>
        <w:tcBorders>
          <w:top w:val="nil"/>
          <w:left w:val="nil"/>
          <w:bottom w:val="single" w:sz="24" w:space="0" w:color="FBD47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986" w:themeFill="accent3" w:themeFillShade="99"/>
      </w:tcPr>
    </w:tblStylePr>
    <w:tblStylePr w:type="firstCol">
      <w:rPr>
        <w:color w:val="FFFFFF" w:themeColor="background1"/>
      </w:rPr>
      <w:tblPr/>
      <w:tcPr>
        <w:tcBorders>
          <w:top w:val="nil"/>
          <w:left w:val="nil"/>
          <w:bottom w:val="nil"/>
          <w:right w:val="nil"/>
          <w:insideH w:val="single" w:sz="4" w:space="0" w:color="329986" w:themeColor="accent3" w:themeShade="99"/>
          <w:insideV w:val="nil"/>
        </w:tcBorders>
        <w:shd w:val="clear" w:color="auto" w:fill="32998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29986" w:themeFill="accent3" w:themeFillShade="99"/>
      </w:tcPr>
    </w:tblStylePr>
    <w:tblStylePr w:type="band1Vert">
      <w:tblPr/>
      <w:tcPr>
        <w:shd w:val="clear" w:color="auto" w:fill="CBEEE7" w:themeFill="accent3" w:themeFillTint="66"/>
      </w:tcPr>
    </w:tblStylePr>
    <w:tblStylePr w:type="band1Horz">
      <w:tblPr/>
      <w:tcPr>
        <w:shd w:val="clear" w:color="auto" w:fill="BFEAE2"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7FD5C5" w:themeColor="accent3"/>
        <w:left w:val="single" w:sz="4" w:space="0" w:color="FBD476" w:themeColor="accent4"/>
        <w:bottom w:val="single" w:sz="4" w:space="0" w:color="FBD476" w:themeColor="accent4"/>
        <w:right w:val="single" w:sz="4" w:space="0" w:color="FBD476" w:themeColor="accent4"/>
        <w:insideH w:val="single" w:sz="4" w:space="0" w:color="FFFFFF" w:themeColor="background1"/>
        <w:insideV w:val="single" w:sz="4" w:space="0" w:color="FFFFFF" w:themeColor="background1"/>
      </w:tblBorders>
    </w:tblPr>
    <w:tcPr>
      <w:shd w:val="clear" w:color="auto" w:fill="FEFAF1" w:themeFill="accent4" w:themeFillTint="19"/>
    </w:tcPr>
    <w:tblStylePr w:type="firstRow">
      <w:rPr>
        <w:b/>
        <w:bCs/>
      </w:rPr>
      <w:tblPr/>
      <w:tcPr>
        <w:tcBorders>
          <w:top w:val="nil"/>
          <w:left w:val="nil"/>
          <w:bottom w:val="single" w:sz="24" w:space="0" w:color="7FD5C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79906" w:themeFill="accent4" w:themeFillShade="99"/>
      </w:tcPr>
    </w:tblStylePr>
    <w:tblStylePr w:type="firstCol">
      <w:rPr>
        <w:color w:val="FFFFFF" w:themeColor="background1"/>
      </w:rPr>
      <w:tblPr/>
      <w:tcPr>
        <w:tcBorders>
          <w:top w:val="nil"/>
          <w:left w:val="nil"/>
          <w:bottom w:val="nil"/>
          <w:right w:val="nil"/>
          <w:insideH w:val="single" w:sz="4" w:space="0" w:color="D79906" w:themeColor="accent4" w:themeShade="99"/>
          <w:insideV w:val="nil"/>
        </w:tcBorders>
        <w:shd w:val="clear" w:color="auto" w:fill="D7990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79906" w:themeFill="accent4" w:themeFillShade="99"/>
      </w:tcPr>
    </w:tblStylePr>
    <w:tblStylePr w:type="band1Vert">
      <w:tblPr/>
      <w:tcPr>
        <w:shd w:val="clear" w:color="auto" w:fill="FDEDC7" w:themeFill="accent4" w:themeFillTint="66"/>
      </w:tcPr>
    </w:tblStylePr>
    <w:tblStylePr w:type="band1Horz">
      <w:tblPr/>
      <w:tcPr>
        <w:shd w:val="clear" w:color="auto" w:fill="FDE9B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0F204B" w:themeColor="accent6"/>
        <w:left w:val="single" w:sz="4" w:space="0" w:color="EBA089" w:themeColor="accent5"/>
        <w:bottom w:val="single" w:sz="4" w:space="0" w:color="EBA089" w:themeColor="accent5"/>
        <w:right w:val="single" w:sz="4" w:space="0" w:color="EBA089" w:themeColor="accent5"/>
        <w:insideH w:val="single" w:sz="4" w:space="0" w:color="FFFFFF" w:themeColor="background1"/>
        <w:insideV w:val="single" w:sz="4" w:space="0" w:color="FFFFFF" w:themeColor="background1"/>
      </w:tblBorders>
    </w:tblPr>
    <w:tcPr>
      <w:shd w:val="clear" w:color="auto" w:fill="FDF5F3" w:themeFill="accent5" w:themeFillTint="19"/>
    </w:tcPr>
    <w:tblStylePr w:type="firstRow">
      <w:rPr>
        <w:b/>
        <w:bCs/>
      </w:rPr>
      <w:tblPr/>
      <w:tcPr>
        <w:tcBorders>
          <w:top w:val="nil"/>
          <w:left w:val="nil"/>
          <w:bottom w:val="single" w:sz="24" w:space="0" w:color="0F204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4520" w:themeFill="accent5" w:themeFillShade="99"/>
      </w:tcPr>
    </w:tblStylePr>
    <w:tblStylePr w:type="firstCol">
      <w:rPr>
        <w:color w:val="FFFFFF" w:themeColor="background1"/>
      </w:rPr>
      <w:tblPr/>
      <w:tcPr>
        <w:tcBorders>
          <w:top w:val="nil"/>
          <w:left w:val="nil"/>
          <w:bottom w:val="nil"/>
          <w:right w:val="nil"/>
          <w:insideH w:val="single" w:sz="4" w:space="0" w:color="BE4520" w:themeColor="accent5" w:themeShade="99"/>
          <w:insideV w:val="nil"/>
        </w:tcBorders>
        <w:shd w:val="clear" w:color="auto" w:fill="BE452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E4520" w:themeFill="accent5" w:themeFillShade="99"/>
      </w:tcPr>
    </w:tblStylePr>
    <w:tblStylePr w:type="band1Vert">
      <w:tblPr/>
      <w:tcPr>
        <w:shd w:val="clear" w:color="auto" w:fill="F7D8CF" w:themeFill="accent5" w:themeFillTint="66"/>
      </w:tcPr>
    </w:tblStylePr>
    <w:tblStylePr w:type="band1Horz">
      <w:tblPr/>
      <w:tcPr>
        <w:shd w:val="clear" w:color="auto" w:fill="F5CFC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EBA089" w:themeColor="accent5"/>
        <w:left w:val="single" w:sz="4" w:space="0" w:color="0F204B" w:themeColor="accent6"/>
        <w:bottom w:val="single" w:sz="4" w:space="0" w:color="0F204B" w:themeColor="accent6"/>
        <w:right w:val="single" w:sz="4" w:space="0" w:color="0F204B" w:themeColor="accent6"/>
        <w:insideH w:val="single" w:sz="4" w:space="0" w:color="FFFFFF" w:themeColor="background1"/>
        <w:insideV w:val="single" w:sz="4" w:space="0" w:color="FFFFFF" w:themeColor="background1"/>
      </w:tblBorders>
    </w:tblPr>
    <w:tcPr>
      <w:shd w:val="clear" w:color="auto" w:fill="DCE4F8" w:themeFill="accent6" w:themeFillTint="19"/>
    </w:tcPr>
    <w:tblStylePr w:type="firstRow">
      <w:rPr>
        <w:b/>
        <w:bCs/>
      </w:rPr>
      <w:tblPr/>
      <w:tcPr>
        <w:tcBorders>
          <w:top w:val="nil"/>
          <w:left w:val="nil"/>
          <w:bottom w:val="single" w:sz="24" w:space="0" w:color="EBA08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32D" w:themeFill="accent6" w:themeFillShade="99"/>
      </w:tcPr>
    </w:tblStylePr>
    <w:tblStylePr w:type="firstCol">
      <w:rPr>
        <w:color w:val="FFFFFF" w:themeColor="background1"/>
      </w:rPr>
      <w:tblPr/>
      <w:tcPr>
        <w:tcBorders>
          <w:top w:val="nil"/>
          <w:left w:val="nil"/>
          <w:bottom w:val="nil"/>
          <w:right w:val="nil"/>
          <w:insideH w:val="single" w:sz="4" w:space="0" w:color="09132D" w:themeColor="accent6" w:themeShade="99"/>
          <w:insideV w:val="nil"/>
        </w:tcBorders>
        <w:shd w:val="clear" w:color="auto" w:fill="0913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9132D" w:themeFill="accent6" w:themeFillShade="99"/>
      </w:tcPr>
    </w:tblStylePr>
    <w:tblStylePr w:type="band1Vert">
      <w:tblPr/>
      <w:tcPr>
        <w:shd w:val="clear" w:color="auto" w:fill="7392E3" w:themeFill="accent6" w:themeFillTint="66"/>
      </w:tcPr>
    </w:tblStylePr>
    <w:tblStylePr w:type="band1Horz">
      <w:tblPr/>
      <w:tcPr>
        <w:shd w:val="clear" w:color="auto" w:fill="5077D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3D7ED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3C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05BB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05BB0" w:themeFill="accent1" w:themeFillShade="BF"/>
      </w:tcPr>
    </w:tblStylePr>
    <w:tblStylePr w:type="band1Vert">
      <w:tblPr/>
      <w:tcPr>
        <w:tcBorders>
          <w:top w:val="nil"/>
          <w:left w:val="nil"/>
          <w:bottom w:val="nil"/>
          <w:right w:val="nil"/>
          <w:insideH w:val="nil"/>
          <w:insideV w:val="nil"/>
        </w:tcBorders>
        <w:shd w:val="clear" w:color="auto" w:fill="205BB0" w:themeFill="accent1" w:themeFillShade="BF"/>
      </w:tcPr>
    </w:tblStylePr>
    <w:tblStylePr w:type="band1Horz">
      <w:tblPr/>
      <w:tcPr>
        <w:tcBorders>
          <w:top w:val="nil"/>
          <w:left w:val="nil"/>
          <w:bottom w:val="nil"/>
          <w:right w:val="nil"/>
          <w:insideH w:val="nil"/>
          <w:insideV w:val="nil"/>
        </w:tcBorders>
        <w:shd w:val="clear" w:color="auto" w:fill="205BB0"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74D1E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7B9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B7D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B7DE" w:themeFill="accent2" w:themeFillShade="BF"/>
      </w:tcPr>
    </w:tblStylePr>
    <w:tblStylePr w:type="band1Vert">
      <w:tblPr/>
      <w:tcPr>
        <w:tcBorders>
          <w:top w:val="nil"/>
          <w:left w:val="nil"/>
          <w:bottom w:val="nil"/>
          <w:right w:val="nil"/>
          <w:insideH w:val="nil"/>
          <w:insideV w:val="nil"/>
        </w:tcBorders>
        <w:shd w:val="clear" w:color="auto" w:fill="27B7DE" w:themeFill="accent2" w:themeFillShade="BF"/>
      </w:tcPr>
    </w:tblStylePr>
    <w:tblStylePr w:type="band1Horz">
      <w:tblPr/>
      <w:tcPr>
        <w:tcBorders>
          <w:top w:val="nil"/>
          <w:left w:val="nil"/>
          <w:bottom w:val="nil"/>
          <w:right w:val="nil"/>
          <w:insideH w:val="nil"/>
          <w:insideV w:val="nil"/>
        </w:tcBorders>
        <w:shd w:val="clear" w:color="auto" w:fill="27B7DE"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7FD5C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7F6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FBFA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FBFA7" w:themeFill="accent3" w:themeFillShade="BF"/>
      </w:tcPr>
    </w:tblStylePr>
    <w:tblStylePr w:type="band1Vert">
      <w:tblPr/>
      <w:tcPr>
        <w:tcBorders>
          <w:top w:val="nil"/>
          <w:left w:val="nil"/>
          <w:bottom w:val="nil"/>
          <w:right w:val="nil"/>
          <w:insideH w:val="nil"/>
          <w:insideV w:val="nil"/>
        </w:tcBorders>
        <w:shd w:val="clear" w:color="auto" w:fill="3FBFA7" w:themeFill="accent3" w:themeFillShade="BF"/>
      </w:tcPr>
    </w:tblStylePr>
    <w:tblStylePr w:type="band1Horz">
      <w:tblPr/>
      <w:tcPr>
        <w:tcBorders>
          <w:top w:val="nil"/>
          <w:left w:val="nil"/>
          <w:bottom w:val="nil"/>
          <w:right w:val="nil"/>
          <w:insideH w:val="nil"/>
          <w:insideV w:val="nil"/>
        </w:tcBorders>
        <w:shd w:val="clear" w:color="auto" w:fill="3FBFA7"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FBD47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27F0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8B71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8B71B" w:themeFill="accent4" w:themeFillShade="BF"/>
      </w:tcPr>
    </w:tblStylePr>
    <w:tblStylePr w:type="band1Vert">
      <w:tblPr/>
      <w:tcPr>
        <w:tcBorders>
          <w:top w:val="nil"/>
          <w:left w:val="nil"/>
          <w:bottom w:val="nil"/>
          <w:right w:val="nil"/>
          <w:insideH w:val="nil"/>
          <w:insideV w:val="nil"/>
        </w:tcBorders>
        <w:shd w:val="clear" w:color="auto" w:fill="F8B71B" w:themeFill="accent4" w:themeFillShade="BF"/>
      </w:tcPr>
    </w:tblStylePr>
    <w:tblStylePr w:type="band1Horz">
      <w:tblPr/>
      <w:tcPr>
        <w:tcBorders>
          <w:top w:val="nil"/>
          <w:left w:val="nil"/>
          <w:bottom w:val="nil"/>
          <w:right w:val="nil"/>
          <w:insideH w:val="nil"/>
          <w:insideV w:val="nil"/>
        </w:tcBorders>
        <w:shd w:val="clear" w:color="auto" w:fill="F8B71B"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EBA08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E391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D5E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D5E38" w:themeFill="accent5" w:themeFillShade="BF"/>
      </w:tcPr>
    </w:tblStylePr>
    <w:tblStylePr w:type="band1Vert">
      <w:tblPr/>
      <w:tcPr>
        <w:tcBorders>
          <w:top w:val="nil"/>
          <w:left w:val="nil"/>
          <w:bottom w:val="nil"/>
          <w:right w:val="nil"/>
          <w:insideH w:val="nil"/>
          <w:insideV w:val="nil"/>
        </w:tcBorders>
        <w:shd w:val="clear" w:color="auto" w:fill="DD5E38" w:themeFill="accent5" w:themeFillShade="BF"/>
      </w:tcPr>
    </w:tblStylePr>
    <w:tblStylePr w:type="band1Horz">
      <w:tblPr/>
      <w:tcPr>
        <w:tcBorders>
          <w:top w:val="nil"/>
          <w:left w:val="nil"/>
          <w:bottom w:val="nil"/>
          <w:right w:val="nil"/>
          <w:insideH w:val="nil"/>
          <w:insideV w:val="nil"/>
        </w:tcBorders>
        <w:shd w:val="clear" w:color="auto" w:fill="DD5E38"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0F204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F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B173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B1738" w:themeFill="accent6" w:themeFillShade="BF"/>
      </w:tcPr>
    </w:tblStylePr>
    <w:tblStylePr w:type="band1Vert">
      <w:tblPr/>
      <w:tcPr>
        <w:tcBorders>
          <w:top w:val="nil"/>
          <w:left w:val="nil"/>
          <w:bottom w:val="nil"/>
          <w:right w:val="nil"/>
          <w:insideH w:val="nil"/>
          <w:insideV w:val="nil"/>
        </w:tcBorders>
        <w:shd w:val="clear" w:color="auto" w:fill="0B1738" w:themeFill="accent6" w:themeFillShade="BF"/>
      </w:tcPr>
    </w:tblStylePr>
    <w:tblStylePr w:type="band1Horz">
      <w:tblPr/>
      <w:tcPr>
        <w:tcBorders>
          <w:top w:val="nil"/>
          <w:left w:val="nil"/>
          <w:bottom w:val="nil"/>
          <w:right w:val="nil"/>
          <w:insideH w:val="nil"/>
          <w:insideV w:val="nil"/>
        </w:tcBorders>
        <w:shd w:val="clear" w:color="auto" w:fill="0B1738" w:themeFill="accent6" w:themeFillShade="BF"/>
      </w:tcPr>
    </w:tblStylePr>
  </w:style>
  <w:style w:type="table" w:styleId="GridTable1Light">
    <w:name w:val="Grid Table 1 Light"/>
    <w:basedOn w:val="TableNormal"/>
    <w:uiPriority w:val="46"/>
    <w:rsid w:val="0058629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8629F"/>
    <w:pPr>
      <w:spacing w:line="240" w:lineRule="auto"/>
    </w:pPr>
    <w:tblPr>
      <w:tblStyleRowBandSize w:val="1"/>
      <w:tblStyleColBandSize w:val="1"/>
      <w:tblBorders>
        <w:top w:val="single" w:sz="4" w:space="0" w:color="B1CBF0" w:themeColor="accent1" w:themeTint="66"/>
        <w:left w:val="single" w:sz="4" w:space="0" w:color="B1CBF0" w:themeColor="accent1" w:themeTint="66"/>
        <w:bottom w:val="single" w:sz="4" w:space="0" w:color="B1CBF0" w:themeColor="accent1" w:themeTint="66"/>
        <w:right w:val="single" w:sz="4" w:space="0" w:color="B1CBF0" w:themeColor="accent1" w:themeTint="66"/>
        <w:insideH w:val="single" w:sz="4" w:space="0" w:color="B1CBF0" w:themeColor="accent1" w:themeTint="66"/>
        <w:insideV w:val="single" w:sz="4" w:space="0" w:color="B1CBF0" w:themeColor="accent1" w:themeTint="66"/>
      </w:tblBorders>
    </w:tblPr>
    <w:tblStylePr w:type="firstRow">
      <w:rPr>
        <w:b/>
        <w:bCs/>
      </w:rPr>
      <w:tblPr/>
      <w:tcPr>
        <w:tcBorders>
          <w:bottom w:val="single" w:sz="12" w:space="0" w:color="8AB1E9" w:themeColor="accent1" w:themeTint="99"/>
        </w:tcBorders>
      </w:tcPr>
    </w:tblStylePr>
    <w:tblStylePr w:type="lastRow">
      <w:rPr>
        <w:b/>
        <w:bCs/>
      </w:rPr>
      <w:tblPr/>
      <w:tcPr>
        <w:tcBorders>
          <w:top w:val="double" w:sz="2" w:space="0" w:color="8AB1E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8629F"/>
    <w:pPr>
      <w:spacing w:line="240" w:lineRule="auto"/>
    </w:pPr>
    <w:tblPr>
      <w:tblStyleRowBandSize w:val="1"/>
      <w:tblStyleColBandSize w:val="1"/>
      <w:tblBorders>
        <w:top w:val="single" w:sz="4" w:space="0" w:color="C7ECF6" w:themeColor="accent2" w:themeTint="66"/>
        <w:left w:val="single" w:sz="4" w:space="0" w:color="C7ECF6" w:themeColor="accent2" w:themeTint="66"/>
        <w:bottom w:val="single" w:sz="4" w:space="0" w:color="C7ECF6" w:themeColor="accent2" w:themeTint="66"/>
        <w:right w:val="single" w:sz="4" w:space="0" w:color="C7ECF6" w:themeColor="accent2" w:themeTint="66"/>
        <w:insideH w:val="single" w:sz="4" w:space="0" w:color="C7ECF6" w:themeColor="accent2" w:themeTint="66"/>
        <w:insideV w:val="single" w:sz="4" w:space="0" w:color="C7ECF6" w:themeColor="accent2" w:themeTint="66"/>
      </w:tblBorders>
    </w:tblPr>
    <w:tblStylePr w:type="firstRow">
      <w:rPr>
        <w:b/>
        <w:bCs/>
      </w:rPr>
      <w:tblPr/>
      <w:tcPr>
        <w:tcBorders>
          <w:bottom w:val="single" w:sz="12" w:space="0" w:color="ABE3F2" w:themeColor="accent2" w:themeTint="99"/>
        </w:tcBorders>
      </w:tcPr>
    </w:tblStylePr>
    <w:tblStylePr w:type="lastRow">
      <w:rPr>
        <w:b/>
        <w:bCs/>
      </w:rPr>
      <w:tblPr/>
      <w:tcPr>
        <w:tcBorders>
          <w:top w:val="double" w:sz="2" w:space="0" w:color="ABE3F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8629F"/>
    <w:pPr>
      <w:spacing w:line="240" w:lineRule="auto"/>
    </w:pPr>
    <w:tblPr>
      <w:tblStyleRowBandSize w:val="1"/>
      <w:tblStyleColBandSize w:val="1"/>
      <w:tblBorders>
        <w:top w:val="single" w:sz="4" w:space="0" w:color="CBEEE7" w:themeColor="accent3" w:themeTint="66"/>
        <w:left w:val="single" w:sz="4" w:space="0" w:color="CBEEE7" w:themeColor="accent3" w:themeTint="66"/>
        <w:bottom w:val="single" w:sz="4" w:space="0" w:color="CBEEE7" w:themeColor="accent3" w:themeTint="66"/>
        <w:right w:val="single" w:sz="4" w:space="0" w:color="CBEEE7" w:themeColor="accent3" w:themeTint="66"/>
        <w:insideH w:val="single" w:sz="4" w:space="0" w:color="CBEEE7" w:themeColor="accent3" w:themeTint="66"/>
        <w:insideV w:val="single" w:sz="4" w:space="0" w:color="CBEEE7" w:themeColor="accent3" w:themeTint="66"/>
      </w:tblBorders>
    </w:tblPr>
    <w:tblStylePr w:type="firstRow">
      <w:rPr>
        <w:b/>
        <w:bCs/>
      </w:rPr>
      <w:tblPr/>
      <w:tcPr>
        <w:tcBorders>
          <w:bottom w:val="single" w:sz="12" w:space="0" w:color="B2E5DC" w:themeColor="accent3" w:themeTint="99"/>
        </w:tcBorders>
      </w:tcPr>
    </w:tblStylePr>
    <w:tblStylePr w:type="lastRow">
      <w:rPr>
        <w:b/>
        <w:bCs/>
      </w:rPr>
      <w:tblPr/>
      <w:tcPr>
        <w:tcBorders>
          <w:top w:val="double" w:sz="2" w:space="0" w:color="B2E5D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8629F"/>
    <w:pPr>
      <w:spacing w:line="240" w:lineRule="auto"/>
    </w:pPr>
    <w:tblPr>
      <w:tblStyleRowBandSize w:val="1"/>
      <w:tblStyleColBandSize w:val="1"/>
      <w:tblBorders>
        <w:top w:val="single" w:sz="4" w:space="0" w:color="FDEDC7" w:themeColor="accent4" w:themeTint="66"/>
        <w:left w:val="single" w:sz="4" w:space="0" w:color="FDEDC7" w:themeColor="accent4" w:themeTint="66"/>
        <w:bottom w:val="single" w:sz="4" w:space="0" w:color="FDEDC7" w:themeColor="accent4" w:themeTint="66"/>
        <w:right w:val="single" w:sz="4" w:space="0" w:color="FDEDC7" w:themeColor="accent4" w:themeTint="66"/>
        <w:insideH w:val="single" w:sz="4" w:space="0" w:color="FDEDC7" w:themeColor="accent4" w:themeTint="66"/>
        <w:insideV w:val="single" w:sz="4" w:space="0" w:color="FDEDC7" w:themeColor="accent4" w:themeTint="66"/>
      </w:tblBorders>
    </w:tblPr>
    <w:tblStylePr w:type="firstRow">
      <w:rPr>
        <w:b/>
        <w:bCs/>
      </w:rPr>
      <w:tblPr/>
      <w:tcPr>
        <w:tcBorders>
          <w:bottom w:val="single" w:sz="12" w:space="0" w:color="FCE5AC" w:themeColor="accent4" w:themeTint="99"/>
        </w:tcBorders>
      </w:tcPr>
    </w:tblStylePr>
    <w:tblStylePr w:type="lastRow">
      <w:rPr>
        <w:b/>
        <w:bCs/>
      </w:rPr>
      <w:tblPr/>
      <w:tcPr>
        <w:tcBorders>
          <w:top w:val="double" w:sz="2" w:space="0" w:color="FCE5A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8629F"/>
    <w:pPr>
      <w:spacing w:line="240" w:lineRule="auto"/>
    </w:pPr>
    <w:tblPr>
      <w:tblStyleRowBandSize w:val="1"/>
      <w:tblStyleColBandSize w:val="1"/>
      <w:tblBorders>
        <w:top w:val="single" w:sz="4" w:space="0" w:color="F7D8CF" w:themeColor="accent5" w:themeTint="66"/>
        <w:left w:val="single" w:sz="4" w:space="0" w:color="F7D8CF" w:themeColor="accent5" w:themeTint="66"/>
        <w:bottom w:val="single" w:sz="4" w:space="0" w:color="F7D8CF" w:themeColor="accent5" w:themeTint="66"/>
        <w:right w:val="single" w:sz="4" w:space="0" w:color="F7D8CF" w:themeColor="accent5" w:themeTint="66"/>
        <w:insideH w:val="single" w:sz="4" w:space="0" w:color="F7D8CF" w:themeColor="accent5" w:themeTint="66"/>
        <w:insideV w:val="single" w:sz="4" w:space="0" w:color="F7D8CF" w:themeColor="accent5" w:themeTint="66"/>
      </w:tblBorders>
    </w:tblPr>
    <w:tblStylePr w:type="firstRow">
      <w:rPr>
        <w:b/>
        <w:bCs/>
      </w:rPr>
      <w:tblPr/>
      <w:tcPr>
        <w:tcBorders>
          <w:bottom w:val="single" w:sz="12" w:space="0" w:color="F3C5B8" w:themeColor="accent5" w:themeTint="99"/>
        </w:tcBorders>
      </w:tcPr>
    </w:tblStylePr>
    <w:tblStylePr w:type="lastRow">
      <w:rPr>
        <w:b/>
        <w:bCs/>
      </w:rPr>
      <w:tblPr/>
      <w:tcPr>
        <w:tcBorders>
          <w:top w:val="double" w:sz="2" w:space="0" w:color="F3C5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8629F"/>
    <w:pPr>
      <w:spacing w:line="240" w:lineRule="auto"/>
    </w:pPr>
    <w:tblPr>
      <w:tblStyleRowBandSize w:val="1"/>
      <w:tblStyleColBandSize w:val="1"/>
      <w:tblBorders>
        <w:top w:val="single" w:sz="4" w:space="0" w:color="7392E3" w:themeColor="accent6" w:themeTint="66"/>
        <w:left w:val="single" w:sz="4" w:space="0" w:color="7392E3" w:themeColor="accent6" w:themeTint="66"/>
        <w:bottom w:val="single" w:sz="4" w:space="0" w:color="7392E3" w:themeColor="accent6" w:themeTint="66"/>
        <w:right w:val="single" w:sz="4" w:space="0" w:color="7392E3" w:themeColor="accent6" w:themeTint="66"/>
        <w:insideH w:val="single" w:sz="4" w:space="0" w:color="7392E3" w:themeColor="accent6" w:themeTint="66"/>
        <w:insideV w:val="single" w:sz="4" w:space="0" w:color="7392E3" w:themeColor="accent6" w:themeTint="66"/>
      </w:tblBorders>
    </w:tblPr>
    <w:tblStylePr w:type="firstRow">
      <w:rPr>
        <w:b/>
        <w:bCs/>
      </w:rPr>
      <w:tblPr/>
      <w:tcPr>
        <w:tcBorders>
          <w:bottom w:val="single" w:sz="12" w:space="0" w:color="2D5CD5" w:themeColor="accent6" w:themeTint="99"/>
        </w:tcBorders>
      </w:tcPr>
    </w:tblStylePr>
    <w:tblStylePr w:type="lastRow">
      <w:rPr>
        <w:b/>
        <w:bCs/>
      </w:rPr>
      <w:tblPr/>
      <w:tcPr>
        <w:tcBorders>
          <w:top w:val="double" w:sz="2" w:space="0" w:color="2D5CD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8629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8629F"/>
    <w:pPr>
      <w:spacing w:line="240" w:lineRule="auto"/>
    </w:pPr>
    <w:tblPr>
      <w:tblStyleRowBandSize w:val="1"/>
      <w:tblStyleColBandSize w:val="1"/>
      <w:tblBorders>
        <w:top w:val="single" w:sz="2" w:space="0" w:color="8AB1E9" w:themeColor="accent1" w:themeTint="99"/>
        <w:bottom w:val="single" w:sz="2" w:space="0" w:color="8AB1E9" w:themeColor="accent1" w:themeTint="99"/>
        <w:insideH w:val="single" w:sz="2" w:space="0" w:color="8AB1E9" w:themeColor="accent1" w:themeTint="99"/>
        <w:insideV w:val="single" w:sz="2" w:space="0" w:color="8AB1E9" w:themeColor="accent1" w:themeTint="99"/>
      </w:tblBorders>
    </w:tblPr>
    <w:tblStylePr w:type="firstRow">
      <w:rPr>
        <w:b/>
        <w:bCs/>
      </w:rPr>
      <w:tblPr/>
      <w:tcPr>
        <w:tcBorders>
          <w:top w:val="nil"/>
          <w:bottom w:val="single" w:sz="12" w:space="0" w:color="8AB1E9" w:themeColor="accent1" w:themeTint="99"/>
          <w:insideH w:val="nil"/>
          <w:insideV w:val="nil"/>
        </w:tcBorders>
        <w:shd w:val="clear" w:color="auto" w:fill="FFFFFF" w:themeFill="background1"/>
      </w:tcPr>
    </w:tblStylePr>
    <w:tblStylePr w:type="lastRow">
      <w:rPr>
        <w:b/>
        <w:bCs/>
      </w:rPr>
      <w:tblPr/>
      <w:tcPr>
        <w:tcBorders>
          <w:top w:val="double" w:sz="2" w:space="0" w:color="8AB1E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5F7" w:themeFill="accent1" w:themeFillTint="33"/>
      </w:tcPr>
    </w:tblStylePr>
    <w:tblStylePr w:type="band1Horz">
      <w:tblPr/>
      <w:tcPr>
        <w:shd w:val="clear" w:color="auto" w:fill="D8E5F7" w:themeFill="accent1" w:themeFillTint="33"/>
      </w:tcPr>
    </w:tblStylePr>
  </w:style>
  <w:style w:type="table" w:styleId="GridTable2-Accent2">
    <w:name w:val="Grid Table 2 Accent 2"/>
    <w:basedOn w:val="TableNormal"/>
    <w:uiPriority w:val="47"/>
    <w:rsid w:val="0058629F"/>
    <w:pPr>
      <w:spacing w:line="240" w:lineRule="auto"/>
    </w:pPr>
    <w:tblPr>
      <w:tblStyleRowBandSize w:val="1"/>
      <w:tblStyleColBandSize w:val="1"/>
      <w:tblBorders>
        <w:top w:val="single" w:sz="2" w:space="0" w:color="ABE3F2" w:themeColor="accent2" w:themeTint="99"/>
        <w:bottom w:val="single" w:sz="2" w:space="0" w:color="ABE3F2" w:themeColor="accent2" w:themeTint="99"/>
        <w:insideH w:val="single" w:sz="2" w:space="0" w:color="ABE3F2" w:themeColor="accent2" w:themeTint="99"/>
        <w:insideV w:val="single" w:sz="2" w:space="0" w:color="ABE3F2" w:themeColor="accent2" w:themeTint="99"/>
      </w:tblBorders>
    </w:tblPr>
    <w:tblStylePr w:type="firstRow">
      <w:rPr>
        <w:b/>
        <w:bCs/>
      </w:rPr>
      <w:tblPr/>
      <w:tcPr>
        <w:tcBorders>
          <w:top w:val="nil"/>
          <w:bottom w:val="single" w:sz="12" w:space="0" w:color="ABE3F2" w:themeColor="accent2" w:themeTint="99"/>
          <w:insideH w:val="nil"/>
          <w:insideV w:val="nil"/>
        </w:tcBorders>
        <w:shd w:val="clear" w:color="auto" w:fill="FFFFFF" w:themeFill="background1"/>
      </w:tcPr>
    </w:tblStylePr>
    <w:tblStylePr w:type="lastRow">
      <w:rPr>
        <w:b/>
        <w:bCs/>
      </w:rPr>
      <w:tblPr/>
      <w:tcPr>
        <w:tcBorders>
          <w:top w:val="double" w:sz="2" w:space="0" w:color="ABE3F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5FA" w:themeFill="accent2" w:themeFillTint="33"/>
      </w:tcPr>
    </w:tblStylePr>
    <w:tblStylePr w:type="band1Horz">
      <w:tblPr/>
      <w:tcPr>
        <w:shd w:val="clear" w:color="auto" w:fill="E3F5FA" w:themeFill="accent2" w:themeFillTint="33"/>
      </w:tcPr>
    </w:tblStylePr>
  </w:style>
  <w:style w:type="table" w:styleId="GridTable2-Accent3">
    <w:name w:val="Grid Table 2 Accent 3"/>
    <w:basedOn w:val="TableNormal"/>
    <w:uiPriority w:val="47"/>
    <w:rsid w:val="0058629F"/>
    <w:pPr>
      <w:spacing w:line="240" w:lineRule="auto"/>
    </w:pPr>
    <w:tblPr>
      <w:tblStyleRowBandSize w:val="1"/>
      <w:tblStyleColBandSize w:val="1"/>
      <w:tblBorders>
        <w:top w:val="single" w:sz="2" w:space="0" w:color="B2E5DC" w:themeColor="accent3" w:themeTint="99"/>
        <w:bottom w:val="single" w:sz="2" w:space="0" w:color="B2E5DC" w:themeColor="accent3" w:themeTint="99"/>
        <w:insideH w:val="single" w:sz="2" w:space="0" w:color="B2E5DC" w:themeColor="accent3" w:themeTint="99"/>
        <w:insideV w:val="single" w:sz="2" w:space="0" w:color="B2E5DC" w:themeColor="accent3" w:themeTint="99"/>
      </w:tblBorders>
    </w:tblPr>
    <w:tblStylePr w:type="firstRow">
      <w:rPr>
        <w:b/>
        <w:bCs/>
      </w:rPr>
      <w:tblPr/>
      <w:tcPr>
        <w:tcBorders>
          <w:top w:val="nil"/>
          <w:bottom w:val="single" w:sz="12" w:space="0" w:color="B2E5DC" w:themeColor="accent3" w:themeTint="99"/>
          <w:insideH w:val="nil"/>
          <w:insideV w:val="nil"/>
        </w:tcBorders>
        <w:shd w:val="clear" w:color="auto" w:fill="FFFFFF" w:themeFill="background1"/>
      </w:tcPr>
    </w:tblStylePr>
    <w:tblStylePr w:type="lastRow">
      <w:rPr>
        <w:b/>
        <w:bCs/>
      </w:rPr>
      <w:tblPr/>
      <w:tcPr>
        <w:tcBorders>
          <w:top w:val="double" w:sz="2" w:space="0" w:color="B2E5D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6F3" w:themeFill="accent3" w:themeFillTint="33"/>
      </w:tcPr>
    </w:tblStylePr>
    <w:tblStylePr w:type="band1Horz">
      <w:tblPr/>
      <w:tcPr>
        <w:shd w:val="clear" w:color="auto" w:fill="E5F6F3" w:themeFill="accent3" w:themeFillTint="33"/>
      </w:tcPr>
    </w:tblStylePr>
  </w:style>
  <w:style w:type="table" w:styleId="GridTable2-Accent4">
    <w:name w:val="Grid Table 2 Accent 4"/>
    <w:basedOn w:val="TableNormal"/>
    <w:uiPriority w:val="47"/>
    <w:rsid w:val="0058629F"/>
    <w:pPr>
      <w:spacing w:line="240" w:lineRule="auto"/>
    </w:pPr>
    <w:tblPr>
      <w:tblStyleRowBandSize w:val="1"/>
      <w:tblStyleColBandSize w:val="1"/>
      <w:tblBorders>
        <w:top w:val="single" w:sz="2" w:space="0" w:color="FCE5AC" w:themeColor="accent4" w:themeTint="99"/>
        <w:bottom w:val="single" w:sz="2" w:space="0" w:color="FCE5AC" w:themeColor="accent4" w:themeTint="99"/>
        <w:insideH w:val="single" w:sz="2" w:space="0" w:color="FCE5AC" w:themeColor="accent4" w:themeTint="99"/>
        <w:insideV w:val="single" w:sz="2" w:space="0" w:color="FCE5AC" w:themeColor="accent4" w:themeTint="99"/>
      </w:tblBorders>
    </w:tblPr>
    <w:tblStylePr w:type="firstRow">
      <w:rPr>
        <w:b/>
        <w:bCs/>
      </w:rPr>
      <w:tblPr/>
      <w:tcPr>
        <w:tcBorders>
          <w:top w:val="nil"/>
          <w:bottom w:val="single" w:sz="12" w:space="0" w:color="FCE5AC" w:themeColor="accent4" w:themeTint="99"/>
          <w:insideH w:val="nil"/>
          <w:insideV w:val="nil"/>
        </w:tcBorders>
        <w:shd w:val="clear" w:color="auto" w:fill="FFFFFF" w:themeFill="background1"/>
      </w:tcPr>
    </w:tblStylePr>
    <w:tblStylePr w:type="lastRow">
      <w:rPr>
        <w:b/>
        <w:bCs/>
      </w:rPr>
      <w:tblPr/>
      <w:tcPr>
        <w:tcBorders>
          <w:top w:val="double" w:sz="2" w:space="0" w:color="FCE5A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6E3" w:themeFill="accent4" w:themeFillTint="33"/>
      </w:tcPr>
    </w:tblStylePr>
    <w:tblStylePr w:type="band1Horz">
      <w:tblPr/>
      <w:tcPr>
        <w:shd w:val="clear" w:color="auto" w:fill="FEF6E3" w:themeFill="accent4" w:themeFillTint="33"/>
      </w:tcPr>
    </w:tblStylePr>
  </w:style>
  <w:style w:type="table" w:styleId="GridTable2-Accent5">
    <w:name w:val="Grid Table 2 Accent 5"/>
    <w:basedOn w:val="TableNormal"/>
    <w:uiPriority w:val="47"/>
    <w:rsid w:val="0058629F"/>
    <w:pPr>
      <w:spacing w:line="240" w:lineRule="auto"/>
    </w:pPr>
    <w:tblPr>
      <w:tblStyleRowBandSize w:val="1"/>
      <w:tblStyleColBandSize w:val="1"/>
      <w:tblBorders>
        <w:top w:val="single" w:sz="2" w:space="0" w:color="F3C5B8" w:themeColor="accent5" w:themeTint="99"/>
        <w:bottom w:val="single" w:sz="2" w:space="0" w:color="F3C5B8" w:themeColor="accent5" w:themeTint="99"/>
        <w:insideH w:val="single" w:sz="2" w:space="0" w:color="F3C5B8" w:themeColor="accent5" w:themeTint="99"/>
        <w:insideV w:val="single" w:sz="2" w:space="0" w:color="F3C5B8" w:themeColor="accent5" w:themeTint="99"/>
      </w:tblBorders>
    </w:tblPr>
    <w:tblStylePr w:type="firstRow">
      <w:rPr>
        <w:b/>
        <w:bCs/>
      </w:rPr>
      <w:tblPr/>
      <w:tcPr>
        <w:tcBorders>
          <w:top w:val="nil"/>
          <w:bottom w:val="single" w:sz="12" w:space="0" w:color="F3C5B8" w:themeColor="accent5" w:themeTint="99"/>
          <w:insideH w:val="nil"/>
          <w:insideV w:val="nil"/>
        </w:tcBorders>
        <w:shd w:val="clear" w:color="auto" w:fill="FFFFFF" w:themeFill="background1"/>
      </w:tcPr>
    </w:tblStylePr>
    <w:tblStylePr w:type="lastRow">
      <w:rPr>
        <w:b/>
        <w:bCs/>
      </w:rPr>
      <w:tblPr/>
      <w:tcPr>
        <w:tcBorders>
          <w:top w:val="double" w:sz="2" w:space="0" w:color="F3C5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BE7" w:themeFill="accent5" w:themeFillTint="33"/>
      </w:tcPr>
    </w:tblStylePr>
    <w:tblStylePr w:type="band1Horz">
      <w:tblPr/>
      <w:tcPr>
        <w:shd w:val="clear" w:color="auto" w:fill="FBEBE7" w:themeFill="accent5" w:themeFillTint="33"/>
      </w:tcPr>
    </w:tblStylePr>
  </w:style>
  <w:style w:type="table" w:styleId="GridTable2-Accent6">
    <w:name w:val="Grid Table 2 Accent 6"/>
    <w:basedOn w:val="TableNormal"/>
    <w:uiPriority w:val="47"/>
    <w:rsid w:val="0058629F"/>
    <w:pPr>
      <w:spacing w:line="240" w:lineRule="auto"/>
    </w:pPr>
    <w:tblPr>
      <w:tblStyleRowBandSize w:val="1"/>
      <w:tblStyleColBandSize w:val="1"/>
      <w:tblBorders>
        <w:top w:val="single" w:sz="2" w:space="0" w:color="2D5CD5" w:themeColor="accent6" w:themeTint="99"/>
        <w:bottom w:val="single" w:sz="2" w:space="0" w:color="2D5CD5" w:themeColor="accent6" w:themeTint="99"/>
        <w:insideH w:val="single" w:sz="2" w:space="0" w:color="2D5CD5" w:themeColor="accent6" w:themeTint="99"/>
        <w:insideV w:val="single" w:sz="2" w:space="0" w:color="2D5CD5" w:themeColor="accent6" w:themeTint="99"/>
      </w:tblBorders>
    </w:tblPr>
    <w:tblStylePr w:type="firstRow">
      <w:rPr>
        <w:b/>
        <w:bCs/>
      </w:rPr>
      <w:tblPr/>
      <w:tcPr>
        <w:tcBorders>
          <w:top w:val="nil"/>
          <w:bottom w:val="single" w:sz="12" w:space="0" w:color="2D5CD5" w:themeColor="accent6" w:themeTint="99"/>
          <w:insideH w:val="nil"/>
          <w:insideV w:val="nil"/>
        </w:tcBorders>
        <w:shd w:val="clear" w:color="auto" w:fill="FFFFFF" w:themeFill="background1"/>
      </w:tcPr>
    </w:tblStylePr>
    <w:tblStylePr w:type="lastRow">
      <w:rPr>
        <w:b/>
        <w:bCs/>
      </w:rPr>
      <w:tblPr/>
      <w:tcPr>
        <w:tcBorders>
          <w:top w:val="double" w:sz="2" w:space="0" w:color="2D5CD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C8F1" w:themeFill="accent6" w:themeFillTint="33"/>
      </w:tcPr>
    </w:tblStylePr>
    <w:tblStylePr w:type="band1Horz">
      <w:tblPr/>
      <w:tcPr>
        <w:shd w:val="clear" w:color="auto" w:fill="B9C8F1" w:themeFill="accent6" w:themeFillTint="33"/>
      </w:tcPr>
    </w:tblStylePr>
  </w:style>
  <w:style w:type="table" w:styleId="GridTable3">
    <w:name w:val="Grid Table 3"/>
    <w:basedOn w:val="TableNormal"/>
    <w:uiPriority w:val="48"/>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8629F"/>
    <w:pPr>
      <w:spacing w:line="240" w:lineRule="auto"/>
    </w:pPr>
    <w:tblPr>
      <w:tblStyleRowBandSize w:val="1"/>
      <w:tblStyleColBandSize w:val="1"/>
      <w:tblBorders>
        <w:top w:val="single" w:sz="4" w:space="0" w:color="8AB1E9" w:themeColor="accent1" w:themeTint="99"/>
        <w:left w:val="single" w:sz="4" w:space="0" w:color="8AB1E9" w:themeColor="accent1" w:themeTint="99"/>
        <w:bottom w:val="single" w:sz="4" w:space="0" w:color="8AB1E9" w:themeColor="accent1" w:themeTint="99"/>
        <w:right w:val="single" w:sz="4" w:space="0" w:color="8AB1E9" w:themeColor="accent1" w:themeTint="99"/>
        <w:insideH w:val="single" w:sz="4" w:space="0" w:color="8AB1E9" w:themeColor="accent1" w:themeTint="99"/>
        <w:insideV w:val="single" w:sz="4" w:space="0" w:color="8AB1E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F7" w:themeFill="accent1" w:themeFillTint="33"/>
      </w:tcPr>
    </w:tblStylePr>
    <w:tblStylePr w:type="band1Horz">
      <w:tblPr/>
      <w:tcPr>
        <w:shd w:val="clear" w:color="auto" w:fill="D8E5F7" w:themeFill="accent1" w:themeFillTint="33"/>
      </w:tcPr>
    </w:tblStylePr>
    <w:tblStylePr w:type="neCell">
      <w:tblPr/>
      <w:tcPr>
        <w:tcBorders>
          <w:bottom w:val="single" w:sz="4" w:space="0" w:color="8AB1E9" w:themeColor="accent1" w:themeTint="99"/>
        </w:tcBorders>
      </w:tcPr>
    </w:tblStylePr>
    <w:tblStylePr w:type="nwCell">
      <w:tblPr/>
      <w:tcPr>
        <w:tcBorders>
          <w:bottom w:val="single" w:sz="4" w:space="0" w:color="8AB1E9" w:themeColor="accent1" w:themeTint="99"/>
        </w:tcBorders>
      </w:tcPr>
    </w:tblStylePr>
    <w:tblStylePr w:type="seCell">
      <w:tblPr/>
      <w:tcPr>
        <w:tcBorders>
          <w:top w:val="single" w:sz="4" w:space="0" w:color="8AB1E9" w:themeColor="accent1" w:themeTint="99"/>
        </w:tcBorders>
      </w:tcPr>
    </w:tblStylePr>
    <w:tblStylePr w:type="swCell">
      <w:tblPr/>
      <w:tcPr>
        <w:tcBorders>
          <w:top w:val="single" w:sz="4" w:space="0" w:color="8AB1E9" w:themeColor="accent1" w:themeTint="99"/>
        </w:tcBorders>
      </w:tcPr>
    </w:tblStylePr>
  </w:style>
  <w:style w:type="table" w:styleId="GridTable3-Accent2">
    <w:name w:val="Grid Table 3 Accent 2"/>
    <w:basedOn w:val="TableNormal"/>
    <w:uiPriority w:val="48"/>
    <w:rsid w:val="0058629F"/>
    <w:pPr>
      <w:spacing w:line="240" w:lineRule="auto"/>
    </w:pPr>
    <w:tblPr>
      <w:tblStyleRowBandSize w:val="1"/>
      <w:tblStyleColBandSize w:val="1"/>
      <w:tblBorders>
        <w:top w:val="single" w:sz="4" w:space="0" w:color="ABE3F2" w:themeColor="accent2" w:themeTint="99"/>
        <w:left w:val="single" w:sz="4" w:space="0" w:color="ABE3F2" w:themeColor="accent2" w:themeTint="99"/>
        <w:bottom w:val="single" w:sz="4" w:space="0" w:color="ABE3F2" w:themeColor="accent2" w:themeTint="99"/>
        <w:right w:val="single" w:sz="4" w:space="0" w:color="ABE3F2" w:themeColor="accent2" w:themeTint="99"/>
        <w:insideH w:val="single" w:sz="4" w:space="0" w:color="ABE3F2" w:themeColor="accent2" w:themeTint="99"/>
        <w:insideV w:val="single" w:sz="4" w:space="0" w:color="ABE3F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5FA" w:themeFill="accent2" w:themeFillTint="33"/>
      </w:tcPr>
    </w:tblStylePr>
    <w:tblStylePr w:type="band1Horz">
      <w:tblPr/>
      <w:tcPr>
        <w:shd w:val="clear" w:color="auto" w:fill="E3F5FA" w:themeFill="accent2" w:themeFillTint="33"/>
      </w:tcPr>
    </w:tblStylePr>
    <w:tblStylePr w:type="neCell">
      <w:tblPr/>
      <w:tcPr>
        <w:tcBorders>
          <w:bottom w:val="single" w:sz="4" w:space="0" w:color="ABE3F2" w:themeColor="accent2" w:themeTint="99"/>
        </w:tcBorders>
      </w:tcPr>
    </w:tblStylePr>
    <w:tblStylePr w:type="nwCell">
      <w:tblPr/>
      <w:tcPr>
        <w:tcBorders>
          <w:bottom w:val="single" w:sz="4" w:space="0" w:color="ABE3F2" w:themeColor="accent2" w:themeTint="99"/>
        </w:tcBorders>
      </w:tcPr>
    </w:tblStylePr>
    <w:tblStylePr w:type="seCell">
      <w:tblPr/>
      <w:tcPr>
        <w:tcBorders>
          <w:top w:val="single" w:sz="4" w:space="0" w:color="ABE3F2" w:themeColor="accent2" w:themeTint="99"/>
        </w:tcBorders>
      </w:tcPr>
    </w:tblStylePr>
    <w:tblStylePr w:type="swCell">
      <w:tblPr/>
      <w:tcPr>
        <w:tcBorders>
          <w:top w:val="single" w:sz="4" w:space="0" w:color="ABE3F2" w:themeColor="accent2" w:themeTint="99"/>
        </w:tcBorders>
      </w:tcPr>
    </w:tblStylePr>
  </w:style>
  <w:style w:type="table" w:styleId="GridTable3-Accent3">
    <w:name w:val="Grid Table 3 Accent 3"/>
    <w:basedOn w:val="TableNormal"/>
    <w:uiPriority w:val="48"/>
    <w:rsid w:val="0058629F"/>
    <w:pPr>
      <w:spacing w:line="240" w:lineRule="auto"/>
    </w:pPr>
    <w:tblPr>
      <w:tblStyleRowBandSize w:val="1"/>
      <w:tblStyleColBandSize w:val="1"/>
      <w:tblBorders>
        <w:top w:val="single" w:sz="4" w:space="0" w:color="B2E5DC" w:themeColor="accent3" w:themeTint="99"/>
        <w:left w:val="single" w:sz="4" w:space="0" w:color="B2E5DC" w:themeColor="accent3" w:themeTint="99"/>
        <w:bottom w:val="single" w:sz="4" w:space="0" w:color="B2E5DC" w:themeColor="accent3" w:themeTint="99"/>
        <w:right w:val="single" w:sz="4" w:space="0" w:color="B2E5DC" w:themeColor="accent3" w:themeTint="99"/>
        <w:insideH w:val="single" w:sz="4" w:space="0" w:color="B2E5DC" w:themeColor="accent3" w:themeTint="99"/>
        <w:insideV w:val="single" w:sz="4" w:space="0" w:color="B2E5D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6F3" w:themeFill="accent3" w:themeFillTint="33"/>
      </w:tcPr>
    </w:tblStylePr>
    <w:tblStylePr w:type="band1Horz">
      <w:tblPr/>
      <w:tcPr>
        <w:shd w:val="clear" w:color="auto" w:fill="E5F6F3" w:themeFill="accent3" w:themeFillTint="33"/>
      </w:tcPr>
    </w:tblStylePr>
    <w:tblStylePr w:type="neCell">
      <w:tblPr/>
      <w:tcPr>
        <w:tcBorders>
          <w:bottom w:val="single" w:sz="4" w:space="0" w:color="B2E5DC" w:themeColor="accent3" w:themeTint="99"/>
        </w:tcBorders>
      </w:tcPr>
    </w:tblStylePr>
    <w:tblStylePr w:type="nwCell">
      <w:tblPr/>
      <w:tcPr>
        <w:tcBorders>
          <w:bottom w:val="single" w:sz="4" w:space="0" w:color="B2E5DC" w:themeColor="accent3" w:themeTint="99"/>
        </w:tcBorders>
      </w:tcPr>
    </w:tblStylePr>
    <w:tblStylePr w:type="seCell">
      <w:tblPr/>
      <w:tcPr>
        <w:tcBorders>
          <w:top w:val="single" w:sz="4" w:space="0" w:color="B2E5DC" w:themeColor="accent3" w:themeTint="99"/>
        </w:tcBorders>
      </w:tcPr>
    </w:tblStylePr>
    <w:tblStylePr w:type="swCell">
      <w:tblPr/>
      <w:tcPr>
        <w:tcBorders>
          <w:top w:val="single" w:sz="4" w:space="0" w:color="B2E5DC" w:themeColor="accent3" w:themeTint="99"/>
        </w:tcBorders>
      </w:tcPr>
    </w:tblStylePr>
  </w:style>
  <w:style w:type="table" w:styleId="GridTable3-Accent4">
    <w:name w:val="Grid Table 3 Accent 4"/>
    <w:basedOn w:val="TableNormal"/>
    <w:uiPriority w:val="48"/>
    <w:rsid w:val="0058629F"/>
    <w:pPr>
      <w:spacing w:line="240" w:lineRule="auto"/>
    </w:pPr>
    <w:tblPr>
      <w:tblStyleRowBandSize w:val="1"/>
      <w:tblStyleColBandSize w:val="1"/>
      <w:tblBorders>
        <w:top w:val="single" w:sz="4" w:space="0" w:color="FCE5AC" w:themeColor="accent4" w:themeTint="99"/>
        <w:left w:val="single" w:sz="4" w:space="0" w:color="FCE5AC" w:themeColor="accent4" w:themeTint="99"/>
        <w:bottom w:val="single" w:sz="4" w:space="0" w:color="FCE5AC" w:themeColor="accent4" w:themeTint="99"/>
        <w:right w:val="single" w:sz="4" w:space="0" w:color="FCE5AC" w:themeColor="accent4" w:themeTint="99"/>
        <w:insideH w:val="single" w:sz="4" w:space="0" w:color="FCE5AC" w:themeColor="accent4" w:themeTint="99"/>
        <w:insideV w:val="single" w:sz="4" w:space="0" w:color="FCE5A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E3" w:themeFill="accent4" w:themeFillTint="33"/>
      </w:tcPr>
    </w:tblStylePr>
    <w:tblStylePr w:type="band1Horz">
      <w:tblPr/>
      <w:tcPr>
        <w:shd w:val="clear" w:color="auto" w:fill="FEF6E3" w:themeFill="accent4" w:themeFillTint="33"/>
      </w:tcPr>
    </w:tblStylePr>
    <w:tblStylePr w:type="neCell">
      <w:tblPr/>
      <w:tcPr>
        <w:tcBorders>
          <w:bottom w:val="single" w:sz="4" w:space="0" w:color="FCE5AC" w:themeColor="accent4" w:themeTint="99"/>
        </w:tcBorders>
      </w:tcPr>
    </w:tblStylePr>
    <w:tblStylePr w:type="nwCell">
      <w:tblPr/>
      <w:tcPr>
        <w:tcBorders>
          <w:bottom w:val="single" w:sz="4" w:space="0" w:color="FCE5AC" w:themeColor="accent4" w:themeTint="99"/>
        </w:tcBorders>
      </w:tcPr>
    </w:tblStylePr>
    <w:tblStylePr w:type="seCell">
      <w:tblPr/>
      <w:tcPr>
        <w:tcBorders>
          <w:top w:val="single" w:sz="4" w:space="0" w:color="FCE5AC" w:themeColor="accent4" w:themeTint="99"/>
        </w:tcBorders>
      </w:tcPr>
    </w:tblStylePr>
    <w:tblStylePr w:type="swCell">
      <w:tblPr/>
      <w:tcPr>
        <w:tcBorders>
          <w:top w:val="single" w:sz="4" w:space="0" w:color="FCE5AC" w:themeColor="accent4" w:themeTint="99"/>
        </w:tcBorders>
      </w:tcPr>
    </w:tblStylePr>
  </w:style>
  <w:style w:type="table" w:styleId="GridTable3-Accent5">
    <w:name w:val="Grid Table 3 Accent 5"/>
    <w:basedOn w:val="TableNormal"/>
    <w:uiPriority w:val="48"/>
    <w:rsid w:val="0058629F"/>
    <w:pPr>
      <w:spacing w:line="240" w:lineRule="auto"/>
    </w:pPr>
    <w:tblPr>
      <w:tblStyleRowBandSize w:val="1"/>
      <w:tblStyleColBandSize w:val="1"/>
      <w:tblBorders>
        <w:top w:val="single" w:sz="4" w:space="0" w:color="F3C5B8" w:themeColor="accent5" w:themeTint="99"/>
        <w:left w:val="single" w:sz="4" w:space="0" w:color="F3C5B8" w:themeColor="accent5" w:themeTint="99"/>
        <w:bottom w:val="single" w:sz="4" w:space="0" w:color="F3C5B8" w:themeColor="accent5" w:themeTint="99"/>
        <w:right w:val="single" w:sz="4" w:space="0" w:color="F3C5B8" w:themeColor="accent5" w:themeTint="99"/>
        <w:insideH w:val="single" w:sz="4" w:space="0" w:color="F3C5B8" w:themeColor="accent5" w:themeTint="99"/>
        <w:insideV w:val="single" w:sz="4" w:space="0" w:color="F3C5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BE7" w:themeFill="accent5" w:themeFillTint="33"/>
      </w:tcPr>
    </w:tblStylePr>
    <w:tblStylePr w:type="band1Horz">
      <w:tblPr/>
      <w:tcPr>
        <w:shd w:val="clear" w:color="auto" w:fill="FBEBE7" w:themeFill="accent5" w:themeFillTint="33"/>
      </w:tcPr>
    </w:tblStylePr>
    <w:tblStylePr w:type="neCell">
      <w:tblPr/>
      <w:tcPr>
        <w:tcBorders>
          <w:bottom w:val="single" w:sz="4" w:space="0" w:color="F3C5B8" w:themeColor="accent5" w:themeTint="99"/>
        </w:tcBorders>
      </w:tcPr>
    </w:tblStylePr>
    <w:tblStylePr w:type="nwCell">
      <w:tblPr/>
      <w:tcPr>
        <w:tcBorders>
          <w:bottom w:val="single" w:sz="4" w:space="0" w:color="F3C5B8" w:themeColor="accent5" w:themeTint="99"/>
        </w:tcBorders>
      </w:tcPr>
    </w:tblStylePr>
    <w:tblStylePr w:type="seCell">
      <w:tblPr/>
      <w:tcPr>
        <w:tcBorders>
          <w:top w:val="single" w:sz="4" w:space="0" w:color="F3C5B8" w:themeColor="accent5" w:themeTint="99"/>
        </w:tcBorders>
      </w:tcPr>
    </w:tblStylePr>
    <w:tblStylePr w:type="swCell">
      <w:tblPr/>
      <w:tcPr>
        <w:tcBorders>
          <w:top w:val="single" w:sz="4" w:space="0" w:color="F3C5B8" w:themeColor="accent5" w:themeTint="99"/>
        </w:tcBorders>
      </w:tcPr>
    </w:tblStylePr>
  </w:style>
  <w:style w:type="table" w:styleId="GridTable3-Accent6">
    <w:name w:val="Grid Table 3 Accent 6"/>
    <w:basedOn w:val="TableNormal"/>
    <w:uiPriority w:val="48"/>
    <w:rsid w:val="0058629F"/>
    <w:pPr>
      <w:spacing w:line="240" w:lineRule="auto"/>
    </w:pPr>
    <w:tblPr>
      <w:tblStyleRowBandSize w:val="1"/>
      <w:tblStyleColBandSize w:val="1"/>
      <w:tblBorders>
        <w:top w:val="single" w:sz="4" w:space="0" w:color="2D5CD5" w:themeColor="accent6" w:themeTint="99"/>
        <w:left w:val="single" w:sz="4" w:space="0" w:color="2D5CD5" w:themeColor="accent6" w:themeTint="99"/>
        <w:bottom w:val="single" w:sz="4" w:space="0" w:color="2D5CD5" w:themeColor="accent6" w:themeTint="99"/>
        <w:right w:val="single" w:sz="4" w:space="0" w:color="2D5CD5" w:themeColor="accent6" w:themeTint="99"/>
        <w:insideH w:val="single" w:sz="4" w:space="0" w:color="2D5CD5" w:themeColor="accent6" w:themeTint="99"/>
        <w:insideV w:val="single" w:sz="4" w:space="0" w:color="2D5CD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C8F1" w:themeFill="accent6" w:themeFillTint="33"/>
      </w:tcPr>
    </w:tblStylePr>
    <w:tblStylePr w:type="band1Horz">
      <w:tblPr/>
      <w:tcPr>
        <w:shd w:val="clear" w:color="auto" w:fill="B9C8F1" w:themeFill="accent6" w:themeFillTint="33"/>
      </w:tcPr>
    </w:tblStylePr>
    <w:tblStylePr w:type="neCell">
      <w:tblPr/>
      <w:tcPr>
        <w:tcBorders>
          <w:bottom w:val="single" w:sz="4" w:space="0" w:color="2D5CD5" w:themeColor="accent6" w:themeTint="99"/>
        </w:tcBorders>
      </w:tcPr>
    </w:tblStylePr>
    <w:tblStylePr w:type="nwCell">
      <w:tblPr/>
      <w:tcPr>
        <w:tcBorders>
          <w:bottom w:val="single" w:sz="4" w:space="0" w:color="2D5CD5" w:themeColor="accent6" w:themeTint="99"/>
        </w:tcBorders>
      </w:tcPr>
    </w:tblStylePr>
    <w:tblStylePr w:type="seCell">
      <w:tblPr/>
      <w:tcPr>
        <w:tcBorders>
          <w:top w:val="single" w:sz="4" w:space="0" w:color="2D5CD5" w:themeColor="accent6" w:themeTint="99"/>
        </w:tcBorders>
      </w:tcPr>
    </w:tblStylePr>
    <w:tblStylePr w:type="swCell">
      <w:tblPr/>
      <w:tcPr>
        <w:tcBorders>
          <w:top w:val="single" w:sz="4" w:space="0" w:color="2D5CD5" w:themeColor="accent6" w:themeTint="99"/>
        </w:tcBorders>
      </w:tcPr>
    </w:tblStylePr>
  </w:style>
  <w:style w:type="table" w:styleId="GridTable4">
    <w:name w:val="Grid Table 4"/>
    <w:basedOn w:val="TableNormal"/>
    <w:uiPriority w:val="49"/>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8629F"/>
    <w:pPr>
      <w:spacing w:line="240" w:lineRule="auto"/>
    </w:pPr>
    <w:tblPr>
      <w:tblStyleRowBandSize w:val="1"/>
      <w:tblStyleColBandSize w:val="1"/>
      <w:tblBorders>
        <w:top w:val="single" w:sz="4" w:space="0" w:color="8AB1E9" w:themeColor="accent1" w:themeTint="99"/>
        <w:left w:val="single" w:sz="4" w:space="0" w:color="8AB1E9" w:themeColor="accent1" w:themeTint="99"/>
        <w:bottom w:val="single" w:sz="4" w:space="0" w:color="8AB1E9" w:themeColor="accent1" w:themeTint="99"/>
        <w:right w:val="single" w:sz="4" w:space="0" w:color="8AB1E9" w:themeColor="accent1" w:themeTint="99"/>
        <w:insideH w:val="single" w:sz="4" w:space="0" w:color="8AB1E9" w:themeColor="accent1" w:themeTint="99"/>
        <w:insideV w:val="single" w:sz="4" w:space="0" w:color="8AB1E9" w:themeColor="accent1" w:themeTint="99"/>
      </w:tblBorders>
    </w:tblPr>
    <w:tblStylePr w:type="firstRow">
      <w:rPr>
        <w:b/>
        <w:bCs/>
        <w:color w:val="FFFFFF" w:themeColor="background1"/>
      </w:rPr>
      <w:tblPr/>
      <w:tcPr>
        <w:tcBorders>
          <w:top w:val="single" w:sz="4" w:space="0" w:color="3D7EDB" w:themeColor="accent1"/>
          <w:left w:val="single" w:sz="4" w:space="0" w:color="3D7EDB" w:themeColor="accent1"/>
          <w:bottom w:val="single" w:sz="4" w:space="0" w:color="3D7EDB" w:themeColor="accent1"/>
          <w:right w:val="single" w:sz="4" w:space="0" w:color="3D7EDB" w:themeColor="accent1"/>
          <w:insideH w:val="nil"/>
          <w:insideV w:val="nil"/>
        </w:tcBorders>
        <w:shd w:val="clear" w:color="auto" w:fill="3D7EDB" w:themeFill="accent1"/>
      </w:tcPr>
    </w:tblStylePr>
    <w:tblStylePr w:type="lastRow">
      <w:rPr>
        <w:b/>
        <w:bCs/>
      </w:rPr>
      <w:tblPr/>
      <w:tcPr>
        <w:tcBorders>
          <w:top w:val="double" w:sz="4" w:space="0" w:color="3D7EDB" w:themeColor="accent1"/>
        </w:tcBorders>
      </w:tcPr>
    </w:tblStylePr>
    <w:tblStylePr w:type="firstCol">
      <w:rPr>
        <w:b/>
        <w:bCs/>
      </w:rPr>
    </w:tblStylePr>
    <w:tblStylePr w:type="lastCol">
      <w:rPr>
        <w:b/>
        <w:bCs/>
      </w:rPr>
    </w:tblStylePr>
    <w:tblStylePr w:type="band1Vert">
      <w:tblPr/>
      <w:tcPr>
        <w:shd w:val="clear" w:color="auto" w:fill="D8E5F7" w:themeFill="accent1" w:themeFillTint="33"/>
      </w:tcPr>
    </w:tblStylePr>
    <w:tblStylePr w:type="band1Horz">
      <w:tblPr/>
      <w:tcPr>
        <w:shd w:val="clear" w:color="auto" w:fill="D8E5F7" w:themeFill="accent1" w:themeFillTint="33"/>
      </w:tcPr>
    </w:tblStylePr>
  </w:style>
  <w:style w:type="table" w:styleId="GridTable4-Accent2">
    <w:name w:val="Grid Table 4 Accent 2"/>
    <w:basedOn w:val="TableNormal"/>
    <w:uiPriority w:val="49"/>
    <w:rsid w:val="0058629F"/>
    <w:pPr>
      <w:spacing w:line="240" w:lineRule="auto"/>
    </w:pPr>
    <w:tblPr>
      <w:tblStyleRowBandSize w:val="1"/>
      <w:tblStyleColBandSize w:val="1"/>
      <w:tblBorders>
        <w:top w:val="single" w:sz="4" w:space="0" w:color="ABE3F2" w:themeColor="accent2" w:themeTint="99"/>
        <w:left w:val="single" w:sz="4" w:space="0" w:color="ABE3F2" w:themeColor="accent2" w:themeTint="99"/>
        <w:bottom w:val="single" w:sz="4" w:space="0" w:color="ABE3F2" w:themeColor="accent2" w:themeTint="99"/>
        <w:right w:val="single" w:sz="4" w:space="0" w:color="ABE3F2" w:themeColor="accent2" w:themeTint="99"/>
        <w:insideH w:val="single" w:sz="4" w:space="0" w:color="ABE3F2" w:themeColor="accent2" w:themeTint="99"/>
        <w:insideV w:val="single" w:sz="4" w:space="0" w:color="ABE3F2" w:themeColor="accent2" w:themeTint="99"/>
      </w:tblBorders>
    </w:tblPr>
    <w:tblStylePr w:type="firstRow">
      <w:rPr>
        <w:b/>
        <w:bCs/>
        <w:color w:val="FFFFFF" w:themeColor="background1"/>
      </w:rPr>
      <w:tblPr/>
      <w:tcPr>
        <w:tcBorders>
          <w:top w:val="single" w:sz="4" w:space="0" w:color="74D1EA" w:themeColor="accent2"/>
          <w:left w:val="single" w:sz="4" w:space="0" w:color="74D1EA" w:themeColor="accent2"/>
          <w:bottom w:val="single" w:sz="4" w:space="0" w:color="74D1EA" w:themeColor="accent2"/>
          <w:right w:val="single" w:sz="4" w:space="0" w:color="74D1EA" w:themeColor="accent2"/>
          <w:insideH w:val="nil"/>
          <w:insideV w:val="nil"/>
        </w:tcBorders>
        <w:shd w:val="clear" w:color="auto" w:fill="74D1EA" w:themeFill="accent2"/>
      </w:tcPr>
    </w:tblStylePr>
    <w:tblStylePr w:type="lastRow">
      <w:rPr>
        <w:b/>
        <w:bCs/>
      </w:rPr>
      <w:tblPr/>
      <w:tcPr>
        <w:tcBorders>
          <w:top w:val="double" w:sz="4" w:space="0" w:color="74D1EA" w:themeColor="accent2"/>
        </w:tcBorders>
      </w:tcPr>
    </w:tblStylePr>
    <w:tblStylePr w:type="firstCol">
      <w:rPr>
        <w:b/>
        <w:bCs/>
      </w:rPr>
    </w:tblStylePr>
    <w:tblStylePr w:type="lastCol">
      <w:rPr>
        <w:b/>
        <w:bCs/>
      </w:rPr>
    </w:tblStylePr>
    <w:tblStylePr w:type="band1Vert">
      <w:tblPr/>
      <w:tcPr>
        <w:shd w:val="clear" w:color="auto" w:fill="E3F5FA" w:themeFill="accent2" w:themeFillTint="33"/>
      </w:tcPr>
    </w:tblStylePr>
    <w:tblStylePr w:type="band1Horz">
      <w:tblPr/>
      <w:tcPr>
        <w:shd w:val="clear" w:color="auto" w:fill="E3F5FA" w:themeFill="accent2" w:themeFillTint="33"/>
      </w:tcPr>
    </w:tblStylePr>
  </w:style>
  <w:style w:type="table" w:styleId="GridTable4-Accent3">
    <w:name w:val="Grid Table 4 Accent 3"/>
    <w:basedOn w:val="TableNormal"/>
    <w:uiPriority w:val="49"/>
    <w:rsid w:val="0058629F"/>
    <w:pPr>
      <w:spacing w:line="240" w:lineRule="auto"/>
    </w:pPr>
    <w:tblPr>
      <w:tblStyleRowBandSize w:val="1"/>
      <w:tblStyleColBandSize w:val="1"/>
      <w:tblBorders>
        <w:top w:val="single" w:sz="4" w:space="0" w:color="B2E5DC" w:themeColor="accent3" w:themeTint="99"/>
        <w:left w:val="single" w:sz="4" w:space="0" w:color="B2E5DC" w:themeColor="accent3" w:themeTint="99"/>
        <w:bottom w:val="single" w:sz="4" w:space="0" w:color="B2E5DC" w:themeColor="accent3" w:themeTint="99"/>
        <w:right w:val="single" w:sz="4" w:space="0" w:color="B2E5DC" w:themeColor="accent3" w:themeTint="99"/>
        <w:insideH w:val="single" w:sz="4" w:space="0" w:color="B2E5DC" w:themeColor="accent3" w:themeTint="99"/>
        <w:insideV w:val="single" w:sz="4" w:space="0" w:color="B2E5DC" w:themeColor="accent3" w:themeTint="99"/>
      </w:tblBorders>
    </w:tblPr>
    <w:tblStylePr w:type="firstRow">
      <w:rPr>
        <w:b/>
        <w:bCs/>
        <w:color w:val="FFFFFF" w:themeColor="background1"/>
      </w:rPr>
      <w:tblPr/>
      <w:tcPr>
        <w:tcBorders>
          <w:top w:val="single" w:sz="4" w:space="0" w:color="7FD5C5" w:themeColor="accent3"/>
          <w:left w:val="single" w:sz="4" w:space="0" w:color="7FD5C5" w:themeColor="accent3"/>
          <w:bottom w:val="single" w:sz="4" w:space="0" w:color="7FD5C5" w:themeColor="accent3"/>
          <w:right w:val="single" w:sz="4" w:space="0" w:color="7FD5C5" w:themeColor="accent3"/>
          <w:insideH w:val="nil"/>
          <w:insideV w:val="nil"/>
        </w:tcBorders>
        <w:shd w:val="clear" w:color="auto" w:fill="7FD5C5" w:themeFill="accent3"/>
      </w:tcPr>
    </w:tblStylePr>
    <w:tblStylePr w:type="lastRow">
      <w:rPr>
        <w:b/>
        <w:bCs/>
      </w:rPr>
      <w:tblPr/>
      <w:tcPr>
        <w:tcBorders>
          <w:top w:val="double" w:sz="4" w:space="0" w:color="7FD5C5" w:themeColor="accent3"/>
        </w:tcBorders>
      </w:tcPr>
    </w:tblStylePr>
    <w:tblStylePr w:type="firstCol">
      <w:rPr>
        <w:b/>
        <w:bCs/>
      </w:rPr>
    </w:tblStylePr>
    <w:tblStylePr w:type="lastCol">
      <w:rPr>
        <w:b/>
        <w:bCs/>
      </w:rPr>
    </w:tblStylePr>
    <w:tblStylePr w:type="band1Vert">
      <w:tblPr/>
      <w:tcPr>
        <w:shd w:val="clear" w:color="auto" w:fill="E5F6F3" w:themeFill="accent3" w:themeFillTint="33"/>
      </w:tcPr>
    </w:tblStylePr>
    <w:tblStylePr w:type="band1Horz">
      <w:tblPr/>
      <w:tcPr>
        <w:shd w:val="clear" w:color="auto" w:fill="E5F6F3" w:themeFill="accent3" w:themeFillTint="33"/>
      </w:tcPr>
    </w:tblStylePr>
  </w:style>
  <w:style w:type="table" w:styleId="GridTable4-Accent4">
    <w:name w:val="Grid Table 4 Accent 4"/>
    <w:basedOn w:val="TableNormal"/>
    <w:uiPriority w:val="49"/>
    <w:rsid w:val="0058629F"/>
    <w:pPr>
      <w:spacing w:line="240" w:lineRule="auto"/>
    </w:pPr>
    <w:tblPr>
      <w:tblStyleRowBandSize w:val="1"/>
      <w:tblStyleColBandSize w:val="1"/>
      <w:tblBorders>
        <w:top w:val="single" w:sz="4" w:space="0" w:color="FCE5AC" w:themeColor="accent4" w:themeTint="99"/>
        <w:left w:val="single" w:sz="4" w:space="0" w:color="FCE5AC" w:themeColor="accent4" w:themeTint="99"/>
        <w:bottom w:val="single" w:sz="4" w:space="0" w:color="FCE5AC" w:themeColor="accent4" w:themeTint="99"/>
        <w:right w:val="single" w:sz="4" w:space="0" w:color="FCE5AC" w:themeColor="accent4" w:themeTint="99"/>
        <w:insideH w:val="single" w:sz="4" w:space="0" w:color="FCE5AC" w:themeColor="accent4" w:themeTint="99"/>
        <w:insideV w:val="single" w:sz="4" w:space="0" w:color="FCE5AC" w:themeColor="accent4" w:themeTint="99"/>
      </w:tblBorders>
    </w:tblPr>
    <w:tblStylePr w:type="firstRow">
      <w:rPr>
        <w:b/>
        <w:bCs/>
        <w:color w:val="FFFFFF" w:themeColor="background1"/>
      </w:rPr>
      <w:tblPr/>
      <w:tcPr>
        <w:tcBorders>
          <w:top w:val="single" w:sz="4" w:space="0" w:color="FBD476" w:themeColor="accent4"/>
          <w:left w:val="single" w:sz="4" w:space="0" w:color="FBD476" w:themeColor="accent4"/>
          <w:bottom w:val="single" w:sz="4" w:space="0" w:color="FBD476" w:themeColor="accent4"/>
          <w:right w:val="single" w:sz="4" w:space="0" w:color="FBD476" w:themeColor="accent4"/>
          <w:insideH w:val="nil"/>
          <w:insideV w:val="nil"/>
        </w:tcBorders>
        <w:shd w:val="clear" w:color="auto" w:fill="FBD476" w:themeFill="accent4"/>
      </w:tcPr>
    </w:tblStylePr>
    <w:tblStylePr w:type="lastRow">
      <w:rPr>
        <w:b/>
        <w:bCs/>
      </w:rPr>
      <w:tblPr/>
      <w:tcPr>
        <w:tcBorders>
          <w:top w:val="double" w:sz="4" w:space="0" w:color="FBD476" w:themeColor="accent4"/>
        </w:tcBorders>
      </w:tcPr>
    </w:tblStylePr>
    <w:tblStylePr w:type="firstCol">
      <w:rPr>
        <w:b/>
        <w:bCs/>
      </w:rPr>
    </w:tblStylePr>
    <w:tblStylePr w:type="lastCol">
      <w:rPr>
        <w:b/>
        <w:bCs/>
      </w:rPr>
    </w:tblStylePr>
    <w:tblStylePr w:type="band1Vert">
      <w:tblPr/>
      <w:tcPr>
        <w:shd w:val="clear" w:color="auto" w:fill="FEF6E3" w:themeFill="accent4" w:themeFillTint="33"/>
      </w:tcPr>
    </w:tblStylePr>
    <w:tblStylePr w:type="band1Horz">
      <w:tblPr/>
      <w:tcPr>
        <w:shd w:val="clear" w:color="auto" w:fill="FEF6E3" w:themeFill="accent4" w:themeFillTint="33"/>
      </w:tcPr>
    </w:tblStylePr>
  </w:style>
  <w:style w:type="table" w:styleId="GridTable4-Accent5">
    <w:name w:val="Grid Table 4 Accent 5"/>
    <w:basedOn w:val="TableNormal"/>
    <w:uiPriority w:val="49"/>
    <w:rsid w:val="0058629F"/>
    <w:pPr>
      <w:spacing w:line="240" w:lineRule="auto"/>
    </w:pPr>
    <w:tblPr>
      <w:tblStyleRowBandSize w:val="1"/>
      <w:tblStyleColBandSize w:val="1"/>
      <w:tblBorders>
        <w:top w:val="single" w:sz="4" w:space="0" w:color="F3C5B8" w:themeColor="accent5" w:themeTint="99"/>
        <w:left w:val="single" w:sz="4" w:space="0" w:color="F3C5B8" w:themeColor="accent5" w:themeTint="99"/>
        <w:bottom w:val="single" w:sz="4" w:space="0" w:color="F3C5B8" w:themeColor="accent5" w:themeTint="99"/>
        <w:right w:val="single" w:sz="4" w:space="0" w:color="F3C5B8" w:themeColor="accent5" w:themeTint="99"/>
        <w:insideH w:val="single" w:sz="4" w:space="0" w:color="F3C5B8" w:themeColor="accent5" w:themeTint="99"/>
        <w:insideV w:val="single" w:sz="4" w:space="0" w:color="F3C5B8" w:themeColor="accent5" w:themeTint="99"/>
      </w:tblBorders>
    </w:tblPr>
    <w:tblStylePr w:type="firstRow">
      <w:rPr>
        <w:b/>
        <w:bCs/>
        <w:color w:val="FFFFFF" w:themeColor="background1"/>
      </w:rPr>
      <w:tblPr/>
      <w:tcPr>
        <w:tcBorders>
          <w:top w:val="single" w:sz="4" w:space="0" w:color="EBA089" w:themeColor="accent5"/>
          <w:left w:val="single" w:sz="4" w:space="0" w:color="EBA089" w:themeColor="accent5"/>
          <w:bottom w:val="single" w:sz="4" w:space="0" w:color="EBA089" w:themeColor="accent5"/>
          <w:right w:val="single" w:sz="4" w:space="0" w:color="EBA089" w:themeColor="accent5"/>
          <w:insideH w:val="nil"/>
          <w:insideV w:val="nil"/>
        </w:tcBorders>
        <w:shd w:val="clear" w:color="auto" w:fill="EBA089" w:themeFill="accent5"/>
      </w:tcPr>
    </w:tblStylePr>
    <w:tblStylePr w:type="lastRow">
      <w:rPr>
        <w:b/>
        <w:bCs/>
      </w:rPr>
      <w:tblPr/>
      <w:tcPr>
        <w:tcBorders>
          <w:top w:val="double" w:sz="4" w:space="0" w:color="EBA089" w:themeColor="accent5"/>
        </w:tcBorders>
      </w:tcPr>
    </w:tblStylePr>
    <w:tblStylePr w:type="firstCol">
      <w:rPr>
        <w:b/>
        <w:bCs/>
      </w:rPr>
    </w:tblStylePr>
    <w:tblStylePr w:type="lastCol">
      <w:rPr>
        <w:b/>
        <w:bCs/>
      </w:rPr>
    </w:tblStylePr>
    <w:tblStylePr w:type="band1Vert">
      <w:tblPr/>
      <w:tcPr>
        <w:shd w:val="clear" w:color="auto" w:fill="FBEBE7" w:themeFill="accent5" w:themeFillTint="33"/>
      </w:tcPr>
    </w:tblStylePr>
    <w:tblStylePr w:type="band1Horz">
      <w:tblPr/>
      <w:tcPr>
        <w:shd w:val="clear" w:color="auto" w:fill="FBEBE7" w:themeFill="accent5" w:themeFillTint="33"/>
      </w:tcPr>
    </w:tblStylePr>
  </w:style>
  <w:style w:type="table" w:styleId="GridTable4-Accent6">
    <w:name w:val="Grid Table 4 Accent 6"/>
    <w:basedOn w:val="TableNormal"/>
    <w:uiPriority w:val="49"/>
    <w:rsid w:val="0058629F"/>
    <w:pPr>
      <w:spacing w:line="240" w:lineRule="auto"/>
    </w:pPr>
    <w:tblPr>
      <w:tblStyleRowBandSize w:val="1"/>
      <w:tblStyleColBandSize w:val="1"/>
      <w:tblBorders>
        <w:top w:val="single" w:sz="4" w:space="0" w:color="2D5CD5" w:themeColor="accent6" w:themeTint="99"/>
        <w:left w:val="single" w:sz="4" w:space="0" w:color="2D5CD5" w:themeColor="accent6" w:themeTint="99"/>
        <w:bottom w:val="single" w:sz="4" w:space="0" w:color="2D5CD5" w:themeColor="accent6" w:themeTint="99"/>
        <w:right w:val="single" w:sz="4" w:space="0" w:color="2D5CD5" w:themeColor="accent6" w:themeTint="99"/>
        <w:insideH w:val="single" w:sz="4" w:space="0" w:color="2D5CD5" w:themeColor="accent6" w:themeTint="99"/>
        <w:insideV w:val="single" w:sz="4" w:space="0" w:color="2D5CD5" w:themeColor="accent6" w:themeTint="99"/>
      </w:tblBorders>
    </w:tblPr>
    <w:tblStylePr w:type="firstRow">
      <w:rPr>
        <w:b/>
        <w:bCs/>
        <w:color w:val="FFFFFF" w:themeColor="background1"/>
      </w:rPr>
      <w:tblPr/>
      <w:tcPr>
        <w:tcBorders>
          <w:top w:val="single" w:sz="4" w:space="0" w:color="0F204B" w:themeColor="accent6"/>
          <w:left w:val="single" w:sz="4" w:space="0" w:color="0F204B" w:themeColor="accent6"/>
          <w:bottom w:val="single" w:sz="4" w:space="0" w:color="0F204B" w:themeColor="accent6"/>
          <w:right w:val="single" w:sz="4" w:space="0" w:color="0F204B" w:themeColor="accent6"/>
          <w:insideH w:val="nil"/>
          <w:insideV w:val="nil"/>
        </w:tcBorders>
        <w:shd w:val="clear" w:color="auto" w:fill="0F204B" w:themeFill="accent6"/>
      </w:tcPr>
    </w:tblStylePr>
    <w:tblStylePr w:type="lastRow">
      <w:rPr>
        <w:b/>
        <w:bCs/>
      </w:rPr>
      <w:tblPr/>
      <w:tcPr>
        <w:tcBorders>
          <w:top w:val="double" w:sz="4" w:space="0" w:color="0F204B" w:themeColor="accent6"/>
        </w:tcBorders>
      </w:tcPr>
    </w:tblStylePr>
    <w:tblStylePr w:type="firstCol">
      <w:rPr>
        <w:b/>
        <w:bCs/>
      </w:rPr>
    </w:tblStylePr>
    <w:tblStylePr w:type="lastCol">
      <w:rPr>
        <w:b/>
        <w:bCs/>
      </w:rPr>
    </w:tblStylePr>
    <w:tblStylePr w:type="band1Vert">
      <w:tblPr/>
      <w:tcPr>
        <w:shd w:val="clear" w:color="auto" w:fill="B9C8F1" w:themeFill="accent6" w:themeFillTint="33"/>
      </w:tcPr>
    </w:tblStylePr>
    <w:tblStylePr w:type="band1Horz">
      <w:tblPr/>
      <w:tcPr>
        <w:shd w:val="clear" w:color="auto" w:fill="B9C8F1" w:themeFill="accent6" w:themeFillTint="33"/>
      </w:tcPr>
    </w:tblStylePr>
  </w:style>
  <w:style w:type="table" w:styleId="GridTable5Dark">
    <w:name w:val="Grid Table 5 Dark"/>
    <w:basedOn w:val="TableNormal"/>
    <w:uiPriority w:val="50"/>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5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7ED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7ED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7ED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7EDB" w:themeFill="accent1"/>
      </w:tcPr>
    </w:tblStylePr>
    <w:tblStylePr w:type="band1Vert">
      <w:tblPr/>
      <w:tcPr>
        <w:shd w:val="clear" w:color="auto" w:fill="B1CBF0" w:themeFill="accent1" w:themeFillTint="66"/>
      </w:tcPr>
    </w:tblStylePr>
    <w:tblStylePr w:type="band1Horz">
      <w:tblPr/>
      <w:tcPr>
        <w:shd w:val="clear" w:color="auto" w:fill="B1CBF0" w:themeFill="accent1" w:themeFillTint="66"/>
      </w:tcPr>
    </w:tblStylePr>
  </w:style>
  <w:style w:type="table" w:styleId="GridTable5Dark-Accent2">
    <w:name w:val="Grid Table 5 Dark Accent 2"/>
    <w:basedOn w:val="TableNormal"/>
    <w:uiPriority w:val="50"/>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5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D1E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D1E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D1E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D1EA" w:themeFill="accent2"/>
      </w:tcPr>
    </w:tblStylePr>
    <w:tblStylePr w:type="band1Vert">
      <w:tblPr/>
      <w:tcPr>
        <w:shd w:val="clear" w:color="auto" w:fill="C7ECF6" w:themeFill="accent2" w:themeFillTint="66"/>
      </w:tcPr>
    </w:tblStylePr>
    <w:tblStylePr w:type="band1Horz">
      <w:tblPr/>
      <w:tcPr>
        <w:shd w:val="clear" w:color="auto" w:fill="C7ECF6" w:themeFill="accent2" w:themeFillTint="66"/>
      </w:tcPr>
    </w:tblStylePr>
  </w:style>
  <w:style w:type="table" w:styleId="GridTable5Dark-Accent3">
    <w:name w:val="Grid Table 5 Dark Accent 3"/>
    <w:basedOn w:val="TableNormal"/>
    <w:uiPriority w:val="50"/>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6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D5C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D5C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D5C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D5C5" w:themeFill="accent3"/>
      </w:tcPr>
    </w:tblStylePr>
    <w:tblStylePr w:type="band1Vert">
      <w:tblPr/>
      <w:tcPr>
        <w:shd w:val="clear" w:color="auto" w:fill="CBEEE7" w:themeFill="accent3" w:themeFillTint="66"/>
      </w:tcPr>
    </w:tblStylePr>
    <w:tblStylePr w:type="band1Horz">
      <w:tblPr/>
      <w:tcPr>
        <w:shd w:val="clear" w:color="auto" w:fill="CBEEE7" w:themeFill="accent3" w:themeFillTint="66"/>
      </w:tcPr>
    </w:tblStylePr>
  </w:style>
  <w:style w:type="table" w:styleId="GridTable5Dark-Accent4">
    <w:name w:val="Grid Table 5 Dark Accent 4"/>
    <w:basedOn w:val="TableNormal"/>
    <w:uiPriority w:val="50"/>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6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D47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D47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D47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D476" w:themeFill="accent4"/>
      </w:tcPr>
    </w:tblStylePr>
    <w:tblStylePr w:type="band1Vert">
      <w:tblPr/>
      <w:tcPr>
        <w:shd w:val="clear" w:color="auto" w:fill="FDEDC7" w:themeFill="accent4" w:themeFillTint="66"/>
      </w:tcPr>
    </w:tblStylePr>
    <w:tblStylePr w:type="band1Horz">
      <w:tblPr/>
      <w:tcPr>
        <w:shd w:val="clear" w:color="auto" w:fill="FDEDC7" w:themeFill="accent4" w:themeFillTint="66"/>
      </w:tcPr>
    </w:tblStylePr>
  </w:style>
  <w:style w:type="table" w:styleId="GridTable5Dark-Accent5">
    <w:name w:val="Grid Table 5 Dark Accent 5"/>
    <w:basedOn w:val="TableNormal"/>
    <w:uiPriority w:val="50"/>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B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A08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A08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A08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A089" w:themeFill="accent5"/>
      </w:tcPr>
    </w:tblStylePr>
    <w:tblStylePr w:type="band1Vert">
      <w:tblPr/>
      <w:tcPr>
        <w:shd w:val="clear" w:color="auto" w:fill="F7D8CF" w:themeFill="accent5" w:themeFillTint="66"/>
      </w:tcPr>
    </w:tblStylePr>
    <w:tblStylePr w:type="band1Horz">
      <w:tblPr/>
      <w:tcPr>
        <w:shd w:val="clear" w:color="auto" w:fill="F7D8CF" w:themeFill="accent5" w:themeFillTint="66"/>
      </w:tcPr>
    </w:tblStylePr>
  </w:style>
  <w:style w:type="table" w:styleId="GridTable5Dark-Accent6">
    <w:name w:val="Grid Table 5 Dark Accent 6"/>
    <w:basedOn w:val="TableNormal"/>
    <w:uiPriority w:val="50"/>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C8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204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204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204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204B" w:themeFill="accent6"/>
      </w:tcPr>
    </w:tblStylePr>
    <w:tblStylePr w:type="band1Vert">
      <w:tblPr/>
      <w:tcPr>
        <w:shd w:val="clear" w:color="auto" w:fill="7392E3" w:themeFill="accent6" w:themeFillTint="66"/>
      </w:tcPr>
    </w:tblStylePr>
    <w:tblStylePr w:type="band1Horz">
      <w:tblPr/>
      <w:tcPr>
        <w:shd w:val="clear" w:color="auto" w:fill="7392E3" w:themeFill="accent6" w:themeFillTint="66"/>
      </w:tcPr>
    </w:tblStylePr>
  </w:style>
  <w:style w:type="table" w:styleId="GridTable6Colorful">
    <w:name w:val="Grid Table 6 Colorful"/>
    <w:basedOn w:val="TableNormal"/>
    <w:uiPriority w:val="51"/>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8629F"/>
    <w:pPr>
      <w:spacing w:line="240" w:lineRule="auto"/>
    </w:pPr>
    <w:rPr>
      <w:color w:val="205BB0" w:themeColor="accent1" w:themeShade="BF"/>
    </w:rPr>
    <w:tblPr>
      <w:tblStyleRowBandSize w:val="1"/>
      <w:tblStyleColBandSize w:val="1"/>
      <w:tblBorders>
        <w:top w:val="single" w:sz="4" w:space="0" w:color="8AB1E9" w:themeColor="accent1" w:themeTint="99"/>
        <w:left w:val="single" w:sz="4" w:space="0" w:color="8AB1E9" w:themeColor="accent1" w:themeTint="99"/>
        <w:bottom w:val="single" w:sz="4" w:space="0" w:color="8AB1E9" w:themeColor="accent1" w:themeTint="99"/>
        <w:right w:val="single" w:sz="4" w:space="0" w:color="8AB1E9" w:themeColor="accent1" w:themeTint="99"/>
        <w:insideH w:val="single" w:sz="4" w:space="0" w:color="8AB1E9" w:themeColor="accent1" w:themeTint="99"/>
        <w:insideV w:val="single" w:sz="4" w:space="0" w:color="8AB1E9" w:themeColor="accent1" w:themeTint="99"/>
      </w:tblBorders>
    </w:tblPr>
    <w:tblStylePr w:type="firstRow">
      <w:rPr>
        <w:b/>
        <w:bCs/>
      </w:rPr>
      <w:tblPr/>
      <w:tcPr>
        <w:tcBorders>
          <w:bottom w:val="single" w:sz="12" w:space="0" w:color="8AB1E9" w:themeColor="accent1" w:themeTint="99"/>
        </w:tcBorders>
      </w:tcPr>
    </w:tblStylePr>
    <w:tblStylePr w:type="lastRow">
      <w:rPr>
        <w:b/>
        <w:bCs/>
      </w:rPr>
      <w:tblPr/>
      <w:tcPr>
        <w:tcBorders>
          <w:top w:val="double" w:sz="4" w:space="0" w:color="8AB1E9" w:themeColor="accent1" w:themeTint="99"/>
        </w:tcBorders>
      </w:tcPr>
    </w:tblStylePr>
    <w:tblStylePr w:type="firstCol">
      <w:rPr>
        <w:b/>
        <w:bCs/>
      </w:rPr>
    </w:tblStylePr>
    <w:tblStylePr w:type="lastCol">
      <w:rPr>
        <w:b/>
        <w:bCs/>
      </w:rPr>
    </w:tblStylePr>
    <w:tblStylePr w:type="band1Vert">
      <w:tblPr/>
      <w:tcPr>
        <w:shd w:val="clear" w:color="auto" w:fill="D8E5F7" w:themeFill="accent1" w:themeFillTint="33"/>
      </w:tcPr>
    </w:tblStylePr>
    <w:tblStylePr w:type="band1Horz">
      <w:tblPr/>
      <w:tcPr>
        <w:shd w:val="clear" w:color="auto" w:fill="D8E5F7" w:themeFill="accent1" w:themeFillTint="33"/>
      </w:tcPr>
    </w:tblStylePr>
  </w:style>
  <w:style w:type="table" w:styleId="GridTable6Colorful-Accent2">
    <w:name w:val="Grid Table 6 Colorful Accent 2"/>
    <w:basedOn w:val="TableNormal"/>
    <w:uiPriority w:val="51"/>
    <w:rsid w:val="0058629F"/>
    <w:pPr>
      <w:spacing w:line="240" w:lineRule="auto"/>
    </w:pPr>
    <w:rPr>
      <w:color w:val="27B7DE" w:themeColor="accent2" w:themeShade="BF"/>
    </w:rPr>
    <w:tblPr>
      <w:tblStyleRowBandSize w:val="1"/>
      <w:tblStyleColBandSize w:val="1"/>
      <w:tblBorders>
        <w:top w:val="single" w:sz="4" w:space="0" w:color="ABE3F2" w:themeColor="accent2" w:themeTint="99"/>
        <w:left w:val="single" w:sz="4" w:space="0" w:color="ABE3F2" w:themeColor="accent2" w:themeTint="99"/>
        <w:bottom w:val="single" w:sz="4" w:space="0" w:color="ABE3F2" w:themeColor="accent2" w:themeTint="99"/>
        <w:right w:val="single" w:sz="4" w:space="0" w:color="ABE3F2" w:themeColor="accent2" w:themeTint="99"/>
        <w:insideH w:val="single" w:sz="4" w:space="0" w:color="ABE3F2" w:themeColor="accent2" w:themeTint="99"/>
        <w:insideV w:val="single" w:sz="4" w:space="0" w:color="ABE3F2" w:themeColor="accent2" w:themeTint="99"/>
      </w:tblBorders>
    </w:tblPr>
    <w:tblStylePr w:type="firstRow">
      <w:rPr>
        <w:b/>
        <w:bCs/>
      </w:rPr>
      <w:tblPr/>
      <w:tcPr>
        <w:tcBorders>
          <w:bottom w:val="single" w:sz="12" w:space="0" w:color="ABE3F2" w:themeColor="accent2" w:themeTint="99"/>
        </w:tcBorders>
      </w:tcPr>
    </w:tblStylePr>
    <w:tblStylePr w:type="lastRow">
      <w:rPr>
        <w:b/>
        <w:bCs/>
      </w:rPr>
      <w:tblPr/>
      <w:tcPr>
        <w:tcBorders>
          <w:top w:val="double" w:sz="4" w:space="0" w:color="ABE3F2" w:themeColor="accent2" w:themeTint="99"/>
        </w:tcBorders>
      </w:tcPr>
    </w:tblStylePr>
    <w:tblStylePr w:type="firstCol">
      <w:rPr>
        <w:b/>
        <w:bCs/>
      </w:rPr>
    </w:tblStylePr>
    <w:tblStylePr w:type="lastCol">
      <w:rPr>
        <w:b/>
        <w:bCs/>
      </w:rPr>
    </w:tblStylePr>
    <w:tblStylePr w:type="band1Vert">
      <w:tblPr/>
      <w:tcPr>
        <w:shd w:val="clear" w:color="auto" w:fill="E3F5FA" w:themeFill="accent2" w:themeFillTint="33"/>
      </w:tcPr>
    </w:tblStylePr>
    <w:tblStylePr w:type="band1Horz">
      <w:tblPr/>
      <w:tcPr>
        <w:shd w:val="clear" w:color="auto" w:fill="E3F5FA" w:themeFill="accent2" w:themeFillTint="33"/>
      </w:tcPr>
    </w:tblStylePr>
  </w:style>
  <w:style w:type="table" w:styleId="GridTable6Colorful-Accent3">
    <w:name w:val="Grid Table 6 Colorful Accent 3"/>
    <w:basedOn w:val="TableNormal"/>
    <w:uiPriority w:val="51"/>
    <w:rsid w:val="0058629F"/>
    <w:pPr>
      <w:spacing w:line="240" w:lineRule="auto"/>
    </w:pPr>
    <w:rPr>
      <w:color w:val="3FBFA7" w:themeColor="accent3" w:themeShade="BF"/>
    </w:rPr>
    <w:tblPr>
      <w:tblStyleRowBandSize w:val="1"/>
      <w:tblStyleColBandSize w:val="1"/>
      <w:tblBorders>
        <w:top w:val="single" w:sz="4" w:space="0" w:color="B2E5DC" w:themeColor="accent3" w:themeTint="99"/>
        <w:left w:val="single" w:sz="4" w:space="0" w:color="B2E5DC" w:themeColor="accent3" w:themeTint="99"/>
        <w:bottom w:val="single" w:sz="4" w:space="0" w:color="B2E5DC" w:themeColor="accent3" w:themeTint="99"/>
        <w:right w:val="single" w:sz="4" w:space="0" w:color="B2E5DC" w:themeColor="accent3" w:themeTint="99"/>
        <w:insideH w:val="single" w:sz="4" w:space="0" w:color="B2E5DC" w:themeColor="accent3" w:themeTint="99"/>
        <w:insideV w:val="single" w:sz="4" w:space="0" w:color="B2E5DC" w:themeColor="accent3" w:themeTint="99"/>
      </w:tblBorders>
    </w:tblPr>
    <w:tblStylePr w:type="firstRow">
      <w:rPr>
        <w:b/>
        <w:bCs/>
      </w:rPr>
      <w:tblPr/>
      <w:tcPr>
        <w:tcBorders>
          <w:bottom w:val="single" w:sz="12" w:space="0" w:color="B2E5DC" w:themeColor="accent3" w:themeTint="99"/>
        </w:tcBorders>
      </w:tcPr>
    </w:tblStylePr>
    <w:tblStylePr w:type="lastRow">
      <w:rPr>
        <w:b/>
        <w:bCs/>
      </w:rPr>
      <w:tblPr/>
      <w:tcPr>
        <w:tcBorders>
          <w:top w:val="double" w:sz="4" w:space="0" w:color="B2E5DC" w:themeColor="accent3" w:themeTint="99"/>
        </w:tcBorders>
      </w:tcPr>
    </w:tblStylePr>
    <w:tblStylePr w:type="firstCol">
      <w:rPr>
        <w:b/>
        <w:bCs/>
      </w:rPr>
    </w:tblStylePr>
    <w:tblStylePr w:type="lastCol">
      <w:rPr>
        <w:b/>
        <w:bCs/>
      </w:rPr>
    </w:tblStylePr>
    <w:tblStylePr w:type="band1Vert">
      <w:tblPr/>
      <w:tcPr>
        <w:shd w:val="clear" w:color="auto" w:fill="E5F6F3" w:themeFill="accent3" w:themeFillTint="33"/>
      </w:tcPr>
    </w:tblStylePr>
    <w:tblStylePr w:type="band1Horz">
      <w:tblPr/>
      <w:tcPr>
        <w:shd w:val="clear" w:color="auto" w:fill="E5F6F3" w:themeFill="accent3" w:themeFillTint="33"/>
      </w:tcPr>
    </w:tblStylePr>
  </w:style>
  <w:style w:type="table" w:styleId="GridTable6Colorful-Accent4">
    <w:name w:val="Grid Table 6 Colorful Accent 4"/>
    <w:basedOn w:val="TableNormal"/>
    <w:uiPriority w:val="51"/>
    <w:rsid w:val="0058629F"/>
    <w:pPr>
      <w:spacing w:line="240" w:lineRule="auto"/>
    </w:pPr>
    <w:rPr>
      <w:color w:val="F8B71B" w:themeColor="accent4" w:themeShade="BF"/>
    </w:rPr>
    <w:tblPr>
      <w:tblStyleRowBandSize w:val="1"/>
      <w:tblStyleColBandSize w:val="1"/>
      <w:tblBorders>
        <w:top w:val="single" w:sz="4" w:space="0" w:color="FCE5AC" w:themeColor="accent4" w:themeTint="99"/>
        <w:left w:val="single" w:sz="4" w:space="0" w:color="FCE5AC" w:themeColor="accent4" w:themeTint="99"/>
        <w:bottom w:val="single" w:sz="4" w:space="0" w:color="FCE5AC" w:themeColor="accent4" w:themeTint="99"/>
        <w:right w:val="single" w:sz="4" w:space="0" w:color="FCE5AC" w:themeColor="accent4" w:themeTint="99"/>
        <w:insideH w:val="single" w:sz="4" w:space="0" w:color="FCE5AC" w:themeColor="accent4" w:themeTint="99"/>
        <w:insideV w:val="single" w:sz="4" w:space="0" w:color="FCE5AC" w:themeColor="accent4" w:themeTint="99"/>
      </w:tblBorders>
    </w:tblPr>
    <w:tblStylePr w:type="firstRow">
      <w:rPr>
        <w:b/>
        <w:bCs/>
      </w:rPr>
      <w:tblPr/>
      <w:tcPr>
        <w:tcBorders>
          <w:bottom w:val="single" w:sz="12" w:space="0" w:color="FCE5AC" w:themeColor="accent4" w:themeTint="99"/>
        </w:tcBorders>
      </w:tcPr>
    </w:tblStylePr>
    <w:tblStylePr w:type="lastRow">
      <w:rPr>
        <w:b/>
        <w:bCs/>
      </w:rPr>
      <w:tblPr/>
      <w:tcPr>
        <w:tcBorders>
          <w:top w:val="double" w:sz="4" w:space="0" w:color="FCE5AC" w:themeColor="accent4" w:themeTint="99"/>
        </w:tcBorders>
      </w:tcPr>
    </w:tblStylePr>
    <w:tblStylePr w:type="firstCol">
      <w:rPr>
        <w:b/>
        <w:bCs/>
      </w:rPr>
    </w:tblStylePr>
    <w:tblStylePr w:type="lastCol">
      <w:rPr>
        <w:b/>
        <w:bCs/>
      </w:rPr>
    </w:tblStylePr>
    <w:tblStylePr w:type="band1Vert">
      <w:tblPr/>
      <w:tcPr>
        <w:shd w:val="clear" w:color="auto" w:fill="FEF6E3" w:themeFill="accent4" w:themeFillTint="33"/>
      </w:tcPr>
    </w:tblStylePr>
    <w:tblStylePr w:type="band1Horz">
      <w:tblPr/>
      <w:tcPr>
        <w:shd w:val="clear" w:color="auto" w:fill="FEF6E3" w:themeFill="accent4" w:themeFillTint="33"/>
      </w:tcPr>
    </w:tblStylePr>
  </w:style>
  <w:style w:type="table" w:styleId="GridTable6Colorful-Accent5">
    <w:name w:val="Grid Table 6 Colorful Accent 5"/>
    <w:basedOn w:val="TableNormal"/>
    <w:uiPriority w:val="51"/>
    <w:rsid w:val="0058629F"/>
    <w:pPr>
      <w:spacing w:line="240" w:lineRule="auto"/>
    </w:pPr>
    <w:rPr>
      <w:color w:val="DD5E38" w:themeColor="accent5" w:themeShade="BF"/>
    </w:rPr>
    <w:tblPr>
      <w:tblStyleRowBandSize w:val="1"/>
      <w:tblStyleColBandSize w:val="1"/>
      <w:tblBorders>
        <w:top w:val="single" w:sz="4" w:space="0" w:color="F3C5B8" w:themeColor="accent5" w:themeTint="99"/>
        <w:left w:val="single" w:sz="4" w:space="0" w:color="F3C5B8" w:themeColor="accent5" w:themeTint="99"/>
        <w:bottom w:val="single" w:sz="4" w:space="0" w:color="F3C5B8" w:themeColor="accent5" w:themeTint="99"/>
        <w:right w:val="single" w:sz="4" w:space="0" w:color="F3C5B8" w:themeColor="accent5" w:themeTint="99"/>
        <w:insideH w:val="single" w:sz="4" w:space="0" w:color="F3C5B8" w:themeColor="accent5" w:themeTint="99"/>
        <w:insideV w:val="single" w:sz="4" w:space="0" w:color="F3C5B8" w:themeColor="accent5" w:themeTint="99"/>
      </w:tblBorders>
    </w:tblPr>
    <w:tblStylePr w:type="firstRow">
      <w:rPr>
        <w:b/>
        <w:bCs/>
      </w:rPr>
      <w:tblPr/>
      <w:tcPr>
        <w:tcBorders>
          <w:bottom w:val="single" w:sz="12" w:space="0" w:color="F3C5B8" w:themeColor="accent5" w:themeTint="99"/>
        </w:tcBorders>
      </w:tcPr>
    </w:tblStylePr>
    <w:tblStylePr w:type="lastRow">
      <w:rPr>
        <w:b/>
        <w:bCs/>
      </w:rPr>
      <w:tblPr/>
      <w:tcPr>
        <w:tcBorders>
          <w:top w:val="double" w:sz="4" w:space="0" w:color="F3C5B8" w:themeColor="accent5" w:themeTint="99"/>
        </w:tcBorders>
      </w:tcPr>
    </w:tblStylePr>
    <w:tblStylePr w:type="firstCol">
      <w:rPr>
        <w:b/>
        <w:bCs/>
      </w:rPr>
    </w:tblStylePr>
    <w:tblStylePr w:type="lastCol">
      <w:rPr>
        <w:b/>
        <w:bCs/>
      </w:rPr>
    </w:tblStylePr>
    <w:tblStylePr w:type="band1Vert">
      <w:tblPr/>
      <w:tcPr>
        <w:shd w:val="clear" w:color="auto" w:fill="FBEBE7" w:themeFill="accent5" w:themeFillTint="33"/>
      </w:tcPr>
    </w:tblStylePr>
    <w:tblStylePr w:type="band1Horz">
      <w:tblPr/>
      <w:tcPr>
        <w:shd w:val="clear" w:color="auto" w:fill="FBEBE7" w:themeFill="accent5" w:themeFillTint="33"/>
      </w:tcPr>
    </w:tblStylePr>
  </w:style>
  <w:style w:type="table" w:styleId="GridTable6Colorful-Accent6">
    <w:name w:val="Grid Table 6 Colorful Accent 6"/>
    <w:basedOn w:val="TableNormal"/>
    <w:uiPriority w:val="51"/>
    <w:rsid w:val="0058629F"/>
    <w:pPr>
      <w:spacing w:line="240" w:lineRule="auto"/>
    </w:pPr>
    <w:rPr>
      <w:color w:val="0B1738" w:themeColor="accent6" w:themeShade="BF"/>
    </w:rPr>
    <w:tblPr>
      <w:tblStyleRowBandSize w:val="1"/>
      <w:tblStyleColBandSize w:val="1"/>
      <w:tblBorders>
        <w:top w:val="single" w:sz="4" w:space="0" w:color="2D5CD5" w:themeColor="accent6" w:themeTint="99"/>
        <w:left w:val="single" w:sz="4" w:space="0" w:color="2D5CD5" w:themeColor="accent6" w:themeTint="99"/>
        <w:bottom w:val="single" w:sz="4" w:space="0" w:color="2D5CD5" w:themeColor="accent6" w:themeTint="99"/>
        <w:right w:val="single" w:sz="4" w:space="0" w:color="2D5CD5" w:themeColor="accent6" w:themeTint="99"/>
        <w:insideH w:val="single" w:sz="4" w:space="0" w:color="2D5CD5" w:themeColor="accent6" w:themeTint="99"/>
        <w:insideV w:val="single" w:sz="4" w:space="0" w:color="2D5CD5" w:themeColor="accent6" w:themeTint="99"/>
      </w:tblBorders>
    </w:tblPr>
    <w:tblStylePr w:type="firstRow">
      <w:rPr>
        <w:b/>
        <w:bCs/>
      </w:rPr>
      <w:tblPr/>
      <w:tcPr>
        <w:tcBorders>
          <w:bottom w:val="single" w:sz="12" w:space="0" w:color="2D5CD5" w:themeColor="accent6" w:themeTint="99"/>
        </w:tcBorders>
      </w:tcPr>
    </w:tblStylePr>
    <w:tblStylePr w:type="lastRow">
      <w:rPr>
        <w:b/>
        <w:bCs/>
      </w:rPr>
      <w:tblPr/>
      <w:tcPr>
        <w:tcBorders>
          <w:top w:val="double" w:sz="4" w:space="0" w:color="2D5CD5" w:themeColor="accent6" w:themeTint="99"/>
        </w:tcBorders>
      </w:tcPr>
    </w:tblStylePr>
    <w:tblStylePr w:type="firstCol">
      <w:rPr>
        <w:b/>
        <w:bCs/>
      </w:rPr>
    </w:tblStylePr>
    <w:tblStylePr w:type="lastCol">
      <w:rPr>
        <w:b/>
        <w:bCs/>
      </w:rPr>
    </w:tblStylePr>
    <w:tblStylePr w:type="band1Vert">
      <w:tblPr/>
      <w:tcPr>
        <w:shd w:val="clear" w:color="auto" w:fill="B9C8F1" w:themeFill="accent6" w:themeFillTint="33"/>
      </w:tcPr>
    </w:tblStylePr>
    <w:tblStylePr w:type="band1Horz">
      <w:tblPr/>
      <w:tcPr>
        <w:shd w:val="clear" w:color="auto" w:fill="B9C8F1" w:themeFill="accent6" w:themeFillTint="33"/>
      </w:tcPr>
    </w:tblStylePr>
  </w:style>
  <w:style w:type="table" w:styleId="GridTable7Colorful">
    <w:name w:val="Grid Table 7 Colorful"/>
    <w:basedOn w:val="TableNormal"/>
    <w:uiPriority w:val="52"/>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8629F"/>
    <w:pPr>
      <w:spacing w:line="240" w:lineRule="auto"/>
    </w:pPr>
    <w:rPr>
      <w:color w:val="205BB0" w:themeColor="accent1" w:themeShade="BF"/>
    </w:rPr>
    <w:tblPr>
      <w:tblStyleRowBandSize w:val="1"/>
      <w:tblStyleColBandSize w:val="1"/>
      <w:tblBorders>
        <w:top w:val="single" w:sz="4" w:space="0" w:color="8AB1E9" w:themeColor="accent1" w:themeTint="99"/>
        <w:left w:val="single" w:sz="4" w:space="0" w:color="8AB1E9" w:themeColor="accent1" w:themeTint="99"/>
        <w:bottom w:val="single" w:sz="4" w:space="0" w:color="8AB1E9" w:themeColor="accent1" w:themeTint="99"/>
        <w:right w:val="single" w:sz="4" w:space="0" w:color="8AB1E9" w:themeColor="accent1" w:themeTint="99"/>
        <w:insideH w:val="single" w:sz="4" w:space="0" w:color="8AB1E9" w:themeColor="accent1" w:themeTint="99"/>
        <w:insideV w:val="single" w:sz="4" w:space="0" w:color="8AB1E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F7" w:themeFill="accent1" w:themeFillTint="33"/>
      </w:tcPr>
    </w:tblStylePr>
    <w:tblStylePr w:type="band1Horz">
      <w:tblPr/>
      <w:tcPr>
        <w:shd w:val="clear" w:color="auto" w:fill="D8E5F7" w:themeFill="accent1" w:themeFillTint="33"/>
      </w:tcPr>
    </w:tblStylePr>
    <w:tblStylePr w:type="neCell">
      <w:tblPr/>
      <w:tcPr>
        <w:tcBorders>
          <w:bottom w:val="single" w:sz="4" w:space="0" w:color="8AB1E9" w:themeColor="accent1" w:themeTint="99"/>
        </w:tcBorders>
      </w:tcPr>
    </w:tblStylePr>
    <w:tblStylePr w:type="nwCell">
      <w:tblPr/>
      <w:tcPr>
        <w:tcBorders>
          <w:bottom w:val="single" w:sz="4" w:space="0" w:color="8AB1E9" w:themeColor="accent1" w:themeTint="99"/>
        </w:tcBorders>
      </w:tcPr>
    </w:tblStylePr>
    <w:tblStylePr w:type="seCell">
      <w:tblPr/>
      <w:tcPr>
        <w:tcBorders>
          <w:top w:val="single" w:sz="4" w:space="0" w:color="8AB1E9" w:themeColor="accent1" w:themeTint="99"/>
        </w:tcBorders>
      </w:tcPr>
    </w:tblStylePr>
    <w:tblStylePr w:type="swCell">
      <w:tblPr/>
      <w:tcPr>
        <w:tcBorders>
          <w:top w:val="single" w:sz="4" w:space="0" w:color="8AB1E9" w:themeColor="accent1" w:themeTint="99"/>
        </w:tcBorders>
      </w:tcPr>
    </w:tblStylePr>
  </w:style>
  <w:style w:type="table" w:styleId="GridTable7Colorful-Accent2">
    <w:name w:val="Grid Table 7 Colorful Accent 2"/>
    <w:basedOn w:val="TableNormal"/>
    <w:uiPriority w:val="52"/>
    <w:rsid w:val="0058629F"/>
    <w:pPr>
      <w:spacing w:line="240" w:lineRule="auto"/>
    </w:pPr>
    <w:rPr>
      <w:color w:val="27B7DE" w:themeColor="accent2" w:themeShade="BF"/>
    </w:rPr>
    <w:tblPr>
      <w:tblStyleRowBandSize w:val="1"/>
      <w:tblStyleColBandSize w:val="1"/>
      <w:tblBorders>
        <w:top w:val="single" w:sz="4" w:space="0" w:color="ABE3F2" w:themeColor="accent2" w:themeTint="99"/>
        <w:left w:val="single" w:sz="4" w:space="0" w:color="ABE3F2" w:themeColor="accent2" w:themeTint="99"/>
        <w:bottom w:val="single" w:sz="4" w:space="0" w:color="ABE3F2" w:themeColor="accent2" w:themeTint="99"/>
        <w:right w:val="single" w:sz="4" w:space="0" w:color="ABE3F2" w:themeColor="accent2" w:themeTint="99"/>
        <w:insideH w:val="single" w:sz="4" w:space="0" w:color="ABE3F2" w:themeColor="accent2" w:themeTint="99"/>
        <w:insideV w:val="single" w:sz="4" w:space="0" w:color="ABE3F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5FA" w:themeFill="accent2" w:themeFillTint="33"/>
      </w:tcPr>
    </w:tblStylePr>
    <w:tblStylePr w:type="band1Horz">
      <w:tblPr/>
      <w:tcPr>
        <w:shd w:val="clear" w:color="auto" w:fill="E3F5FA" w:themeFill="accent2" w:themeFillTint="33"/>
      </w:tcPr>
    </w:tblStylePr>
    <w:tblStylePr w:type="neCell">
      <w:tblPr/>
      <w:tcPr>
        <w:tcBorders>
          <w:bottom w:val="single" w:sz="4" w:space="0" w:color="ABE3F2" w:themeColor="accent2" w:themeTint="99"/>
        </w:tcBorders>
      </w:tcPr>
    </w:tblStylePr>
    <w:tblStylePr w:type="nwCell">
      <w:tblPr/>
      <w:tcPr>
        <w:tcBorders>
          <w:bottom w:val="single" w:sz="4" w:space="0" w:color="ABE3F2" w:themeColor="accent2" w:themeTint="99"/>
        </w:tcBorders>
      </w:tcPr>
    </w:tblStylePr>
    <w:tblStylePr w:type="seCell">
      <w:tblPr/>
      <w:tcPr>
        <w:tcBorders>
          <w:top w:val="single" w:sz="4" w:space="0" w:color="ABE3F2" w:themeColor="accent2" w:themeTint="99"/>
        </w:tcBorders>
      </w:tcPr>
    </w:tblStylePr>
    <w:tblStylePr w:type="swCell">
      <w:tblPr/>
      <w:tcPr>
        <w:tcBorders>
          <w:top w:val="single" w:sz="4" w:space="0" w:color="ABE3F2" w:themeColor="accent2" w:themeTint="99"/>
        </w:tcBorders>
      </w:tcPr>
    </w:tblStylePr>
  </w:style>
  <w:style w:type="table" w:styleId="GridTable7Colorful-Accent3">
    <w:name w:val="Grid Table 7 Colorful Accent 3"/>
    <w:basedOn w:val="TableNormal"/>
    <w:uiPriority w:val="52"/>
    <w:rsid w:val="0058629F"/>
    <w:pPr>
      <w:spacing w:line="240" w:lineRule="auto"/>
    </w:pPr>
    <w:rPr>
      <w:color w:val="3FBFA7" w:themeColor="accent3" w:themeShade="BF"/>
    </w:rPr>
    <w:tblPr>
      <w:tblStyleRowBandSize w:val="1"/>
      <w:tblStyleColBandSize w:val="1"/>
      <w:tblBorders>
        <w:top w:val="single" w:sz="4" w:space="0" w:color="B2E5DC" w:themeColor="accent3" w:themeTint="99"/>
        <w:left w:val="single" w:sz="4" w:space="0" w:color="B2E5DC" w:themeColor="accent3" w:themeTint="99"/>
        <w:bottom w:val="single" w:sz="4" w:space="0" w:color="B2E5DC" w:themeColor="accent3" w:themeTint="99"/>
        <w:right w:val="single" w:sz="4" w:space="0" w:color="B2E5DC" w:themeColor="accent3" w:themeTint="99"/>
        <w:insideH w:val="single" w:sz="4" w:space="0" w:color="B2E5DC" w:themeColor="accent3" w:themeTint="99"/>
        <w:insideV w:val="single" w:sz="4" w:space="0" w:color="B2E5D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6F3" w:themeFill="accent3" w:themeFillTint="33"/>
      </w:tcPr>
    </w:tblStylePr>
    <w:tblStylePr w:type="band1Horz">
      <w:tblPr/>
      <w:tcPr>
        <w:shd w:val="clear" w:color="auto" w:fill="E5F6F3" w:themeFill="accent3" w:themeFillTint="33"/>
      </w:tcPr>
    </w:tblStylePr>
    <w:tblStylePr w:type="neCell">
      <w:tblPr/>
      <w:tcPr>
        <w:tcBorders>
          <w:bottom w:val="single" w:sz="4" w:space="0" w:color="B2E5DC" w:themeColor="accent3" w:themeTint="99"/>
        </w:tcBorders>
      </w:tcPr>
    </w:tblStylePr>
    <w:tblStylePr w:type="nwCell">
      <w:tblPr/>
      <w:tcPr>
        <w:tcBorders>
          <w:bottom w:val="single" w:sz="4" w:space="0" w:color="B2E5DC" w:themeColor="accent3" w:themeTint="99"/>
        </w:tcBorders>
      </w:tcPr>
    </w:tblStylePr>
    <w:tblStylePr w:type="seCell">
      <w:tblPr/>
      <w:tcPr>
        <w:tcBorders>
          <w:top w:val="single" w:sz="4" w:space="0" w:color="B2E5DC" w:themeColor="accent3" w:themeTint="99"/>
        </w:tcBorders>
      </w:tcPr>
    </w:tblStylePr>
    <w:tblStylePr w:type="swCell">
      <w:tblPr/>
      <w:tcPr>
        <w:tcBorders>
          <w:top w:val="single" w:sz="4" w:space="0" w:color="B2E5DC" w:themeColor="accent3" w:themeTint="99"/>
        </w:tcBorders>
      </w:tcPr>
    </w:tblStylePr>
  </w:style>
  <w:style w:type="table" w:styleId="GridTable7Colorful-Accent4">
    <w:name w:val="Grid Table 7 Colorful Accent 4"/>
    <w:basedOn w:val="TableNormal"/>
    <w:uiPriority w:val="52"/>
    <w:rsid w:val="0058629F"/>
    <w:pPr>
      <w:spacing w:line="240" w:lineRule="auto"/>
    </w:pPr>
    <w:rPr>
      <w:color w:val="F8B71B" w:themeColor="accent4" w:themeShade="BF"/>
    </w:rPr>
    <w:tblPr>
      <w:tblStyleRowBandSize w:val="1"/>
      <w:tblStyleColBandSize w:val="1"/>
      <w:tblBorders>
        <w:top w:val="single" w:sz="4" w:space="0" w:color="FCE5AC" w:themeColor="accent4" w:themeTint="99"/>
        <w:left w:val="single" w:sz="4" w:space="0" w:color="FCE5AC" w:themeColor="accent4" w:themeTint="99"/>
        <w:bottom w:val="single" w:sz="4" w:space="0" w:color="FCE5AC" w:themeColor="accent4" w:themeTint="99"/>
        <w:right w:val="single" w:sz="4" w:space="0" w:color="FCE5AC" w:themeColor="accent4" w:themeTint="99"/>
        <w:insideH w:val="single" w:sz="4" w:space="0" w:color="FCE5AC" w:themeColor="accent4" w:themeTint="99"/>
        <w:insideV w:val="single" w:sz="4" w:space="0" w:color="FCE5A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E3" w:themeFill="accent4" w:themeFillTint="33"/>
      </w:tcPr>
    </w:tblStylePr>
    <w:tblStylePr w:type="band1Horz">
      <w:tblPr/>
      <w:tcPr>
        <w:shd w:val="clear" w:color="auto" w:fill="FEF6E3" w:themeFill="accent4" w:themeFillTint="33"/>
      </w:tcPr>
    </w:tblStylePr>
    <w:tblStylePr w:type="neCell">
      <w:tblPr/>
      <w:tcPr>
        <w:tcBorders>
          <w:bottom w:val="single" w:sz="4" w:space="0" w:color="FCE5AC" w:themeColor="accent4" w:themeTint="99"/>
        </w:tcBorders>
      </w:tcPr>
    </w:tblStylePr>
    <w:tblStylePr w:type="nwCell">
      <w:tblPr/>
      <w:tcPr>
        <w:tcBorders>
          <w:bottom w:val="single" w:sz="4" w:space="0" w:color="FCE5AC" w:themeColor="accent4" w:themeTint="99"/>
        </w:tcBorders>
      </w:tcPr>
    </w:tblStylePr>
    <w:tblStylePr w:type="seCell">
      <w:tblPr/>
      <w:tcPr>
        <w:tcBorders>
          <w:top w:val="single" w:sz="4" w:space="0" w:color="FCE5AC" w:themeColor="accent4" w:themeTint="99"/>
        </w:tcBorders>
      </w:tcPr>
    </w:tblStylePr>
    <w:tblStylePr w:type="swCell">
      <w:tblPr/>
      <w:tcPr>
        <w:tcBorders>
          <w:top w:val="single" w:sz="4" w:space="0" w:color="FCE5AC" w:themeColor="accent4" w:themeTint="99"/>
        </w:tcBorders>
      </w:tcPr>
    </w:tblStylePr>
  </w:style>
  <w:style w:type="table" w:styleId="GridTable7Colorful-Accent5">
    <w:name w:val="Grid Table 7 Colorful Accent 5"/>
    <w:basedOn w:val="TableNormal"/>
    <w:uiPriority w:val="52"/>
    <w:rsid w:val="0058629F"/>
    <w:pPr>
      <w:spacing w:line="240" w:lineRule="auto"/>
    </w:pPr>
    <w:rPr>
      <w:color w:val="DD5E38" w:themeColor="accent5" w:themeShade="BF"/>
    </w:rPr>
    <w:tblPr>
      <w:tblStyleRowBandSize w:val="1"/>
      <w:tblStyleColBandSize w:val="1"/>
      <w:tblBorders>
        <w:top w:val="single" w:sz="4" w:space="0" w:color="F3C5B8" w:themeColor="accent5" w:themeTint="99"/>
        <w:left w:val="single" w:sz="4" w:space="0" w:color="F3C5B8" w:themeColor="accent5" w:themeTint="99"/>
        <w:bottom w:val="single" w:sz="4" w:space="0" w:color="F3C5B8" w:themeColor="accent5" w:themeTint="99"/>
        <w:right w:val="single" w:sz="4" w:space="0" w:color="F3C5B8" w:themeColor="accent5" w:themeTint="99"/>
        <w:insideH w:val="single" w:sz="4" w:space="0" w:color="F3C5B8" w:themeColor="accent5" w:themeTint="99"/>
        <w:insideV w:val="single" w:sz="4" w:space="0" w:color="F3C5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BE7" w:themeFill="accent5" w:themeFillTint="33"/>
      </w:tcPr>
    </w:tblStylePr>
    <w:tblStylePr w:type="band1Horz">
      <w:tblPr/>
      <w:tcPr>
        <w:shd w:val="clear" w:color="auto" w:fill="FBEBE7" w:themeFill="accent5" w:themeFillTint="33"/>
      </w:tcPr>
    </w:tblStylePr>
    <w:tblStylePr w:type="neCell">
      <w:tblPr/>
      <w:tcPr>
        <w:tcBorders>
          <w:bottom w:val="single" w:sz="4" w:space="0" w:color="F3C5B8" w:themeColor="accent5" w:themeTint="99"/>
        </w:tcBorders>
      </w:tcPr>
    </w:tblStylePr>
    <w:tblStylePr w:type="nwCell">
      <w:tblPr/>
      <w:tcPr>
        <w:tcBorders>
          <w:bottom w:val="single" w:sz="4" w:space="0" w:color="F3C5B8" w:themeColor="accent5" w:themeTint="99"/>
        </w:tcBorders>
      </w:tcPr>
    </w:tblStylePr>
    <w:tblStylePr w:type="seCell">
      <w:tblPr/>
      <w:tcPr>
        <w:tcBorders>
          <w:top w:val="single" w:sz="4" w:space="0" w:color="F3C5B8" w:themeColor="accent5" w:themeTint="99"/>
        </w:tcBorders>
      </w:tcPr>
    </w:tblStylePr>
    <w:tblStylePr w:type="swCell">
      <w:tblPr/>
      <w:tcPr>
        <w:tcBorders>
          <w:top w:val="single" w:sz="4" w:space="0" w:color="F3C5B8" w:themeColor="accent5" w:themeTint="99"/>
        </w:tcBorders>
      </w:tcPr>
    </w:tblStylePr>
  </w:style>
  <w:style w:type="table" w:styleId="GridTable7Colorful-Accent6">
    <w:name w:val="Grid Table 7 Colorful Accent 6"/>
    <w:basedOn w:val="TableNormal"/>
    <w:uiPriority w:val="52"/>
    <w:rsid w:val="0058629F"/>
    <w:pPr>
      <w:spacing w:line="240" w:lineRule="auto"/>
    </w:pPr>
    <w:rPr>
      <w:color w:val="0B1738" w:themeColor="accent6" w:themeShade="BF"/>
    </w:rPr>
    <w:tblPr>
      <w:tblStyleRowBandSize w:val="1"/>
      <w:tblStyleColBandSize w:val="1"/>
      <w:tblBorders>
        <w:top w:val="single" w:sz="4" w:space="0" w:color="2D5CD5" w:themeColor="accent6" w:themeTint="99"/>
        <w:left w:val="single" w:sz="4" w:space="0" w:color="2D5CD5" w:themeColor="accent6" w:themeTint="99"/>
        <w:bottom w:val="single" w:sz="4" w:space="0" w:color="2D5CD5" w:themeColor="accent6" w:themeTint="99"/>
        <w:right w:val="single" w:sz="4" w:space="0" w:color="2D5CD5" w:themeColor="accent6" w:themeTint="99"/>
        <w:insideH w:val="single" w:sz="4" w:space="0" w:color="2D5CD5" w:themeColor="accent6" w:themeTint="99"/>
        <w:insideV w:val="single" w:sz="4" w:space="0" w:color="2D5CD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C8F1" w:themeFill="accent6" w:themeFillTint="33"/>
      </w:tcPr>
    </w:tblStylePr>
    <w:tblStylePr w:type="band1Horz">
      <w:tblPr/>
      <w:tcPr>
        <w:shd w:val="clear" w:color="auto" w:fill="B9C8F1" w:themeFill="accent6" w:themeFillTint="33"/>
      </w:tcPr>
    </w:tblStylePr>
    <w:tblStylePr w:type="neCell">
      <w:tblPr/>
      <w:tcPr>
        <w:tcBorders>
          <w:bottom w:val="single" w:sz="4" w:space="0" w:color="2D5CD5" w:themeColor="accent6" w:themeTint="99"/>
        </w:tcBorders>
      </w:tcPr>
    </w:tblStylePr>
    <w:tblStylePr w:type="nwCell">
      <w:tblPr/>
      <w:tcPr>
        <w:tcBorders>
          <w:bottom w:val="single" w:sz="4" w:space="0" w:color="2D5CD5" w:themeColor="accent6" w:themeTint="99"/>
        </w:tcBorders>
      </w:tcPr>
    </w:tblStylePr>
    <w:tblStylePr w:type="seCell">
      <w:tblPr/>
      <w:tcPr>
        <w:tcBorders>
          <w:top w:val="single" w:sz="4" w:space="0" w:color="2D5CD5" w:themeColor="accent6" w:themeTint="99"/>
        </w:tcBorders>
      </w:tcPr>
    </w:tblStylePr>
    <w:tblStylePr w:type="swCell">
      <w:tblPr/>
      <w:tcPr>
        <w:tcBorders>
          <w:top w:val="single" w:sz="4" w:space="0" w:color="2D5CD5"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3D7EDB" w:themeColor="accent1"/>
        <w:left w:val="single" w:sz="8" w:space="0" w:color="3D7EDB" w:themeColor="accent1"/>
        <w:bottom w:val="single" w:sz="8" w:space="0" w:color="3D7EDB" w:themeColor="accent1"/>
        <w:right w:val="single" w:sz="8" w:space="0" w:color="3D7EDB" w:themeColor="accent1"/>
        <w:insideH w:val="single" w:sz="8" w:space="0" w:color="3D7EDB" w:themeColor="accent1"/>
        <w:insideV w:val="single" w:sz="8" w:space="0" w:color="3D7ED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7EDB" w:themeColor="accent1"/>
          <w:left w:val="single" w:sz="8" w:space="0" w:color="3D7EDB" w:themeColor="accent1"/>
          <w:bottom w:val="single" w:sz="18" w:space="0" w:color="3D7EDB" w:themeColor="accent1"/>
          <w:right w:val="single" w:sz="8" w:space="0" w:color="3D7EDB" w:themeColor="accent1"/>
          <w:insideH w:val="nil"/>
          <w:insideV w:val="single" w:sz="8" w:space="0" w:color="3D7ED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7EDB" w:themeColor="accent1"/>
          <w:left w:val="single" w:sz="8" w:space="0" w:color="3D7EDB" w:themeColor="accent1"/>
          <w:bottom w:val="single" w:sz="8" w:space="0" w:color="3D7EDB" w:themeColor="accent1"/>
          <w:right w:val="single" w:sz="8" w:space="0" w:color="3D7EDB" w:themeColor="accent1"/>
          <w:insideH w:val="nil"/>
          <w:insideV w:val="single" w:sz="8" w:space="0" w:color="3D7ED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7EDB" w:themeColor="accent1"/>
          <w:left w:val="single" w:sz="8" w:space="0" w:color="3D7EDB" w:themeColor="accent1"/>
          <w:bottom w:val="single" w:sz="8" w:space="0" w:color="3D7EDB" w:themeColor="accent1"/>
          <w:right w:val="single" w:sz="8" w:space="0" w:color="3D7EDB" w:themeColor="accent1"/>
        </w:tcBorders>
      </w:tcPr>
    </w:tblStylePr>
    <w:tblStylePr w:type="band1Vert">
      <w:tblPr/>
      <w:tcPr>
        <w:tcBorders>
          <w:top w:val="single" w:sz="8" w:space="0" w:color="3D7EDB" w:themeColor="accent1"/>
          <w:left w:val="single" w:sz="8" w:space="0" w:color="3D7EDB" w:themeColor="accent1"/>
          <w:bottom w:val="single" w:sz="8" w:space="0" w:color="3D7EDB" w:themeColor="accent1"/>
          <w:right w:val="single" w:sz="8" w:space="0" w:color="3D7EDB" w:themeColor="accent1"/>
        </w:tcBorders>
        <w:shd w:val="clear" w:color="auto" w:fill="CEDEF6" w:themeFill="accent1" w:themeFillTint="3F"/>
      </w:tcPr>
    </w:tblStylePr>
    <w:tblStylePr w:type="band1Horz">
      <w:tblPr/>
      <w:tcPr>
        <w:tcBorders>
          <w:top w:val="single" w:sz="8" w:space="0" w:color="3D7EDB" w:themeColor="accent1"/>
          <w:left w:val="single" w:sz="8" w:space="0" w:color="3D7EDB" w:themeColor="accent1"/>
          <w:bottom w:val="single" w:sz="8" w:space="0" w:color="3D7EDB" w:themeColor="accent1"/>
          <w:right w:val="single" w:sz="8" w:space="0" w:color="3D7EDB" w:themeColor="accent1"/>
          <w:insideV w:val="single" w:sz="8" w:space="0" w:color="3D7EDB" w:themeColor="accent1"/>
        </w:tcBorders>
        <w:shd w:val="clear" w:color="auto" w:fill="CEDEF6" w:themeFill="accent1" w:themeFillTint="3F"/>
      </w:tcPr>
    </w:tblStylePr>
    <w:tblStylePr w:type="band2Horz">
      <w:tblPr/>
      <w:tcPr>
        <w:tcBorders>
          <w:top w:val="single" w:sz="8" w:space="0" w:color="3D7EDB" w:themeColor="accent1"/>
          <w:left w:val="single" w:sz="8" w:space="0" w:color="3D7EDB" w:themeColor="accent1"/>
          <w:bottom w:val="single" w:sz="8" w:space="0" w:color="3D7EDB" w:themeColor="accent1"/>
          <w:right w:val="single" w:sz="8" w:space="0" w:color="3D7EDB" w:themeColor="accent1"/>
          <w:insideV w:val="single" w:sz="8" w:space="0" w:color="3D7EDB"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74D1EA" w:themeColor="accent2"/>
        <w:left w:val="single" w:sz="8" w:space="0" w:color="74D1EA" w:themeColor="accent2"/>
        <w:bottom w:val="single" w:sz="8" w:space="0" w:color="74D1EA" w:themeColor="accent2"/>
        <w:right w:val="single" w:sz="8" w:space="0" w:color="74D1EA" w:themeColor="accent2"/>
        <w:insideH w:val="single" w:sz="8" w:space="0" w:color="74D1EA" w:themeColor="accent2"/>
        <w:insideV w:val="single" w:sz="8" w:space="0" w:color="74D1E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D1EA" w:themeColor="accent2"/>
          <w:left w:val="single" w:sz="8" w:space="0" w:color="74D1EA" w:themeColor="accent2"/>
          <w:bottom w:val="single" w:sz="18" w:space="0" w:color="74D1EA" w:themeColor="accent2"/>
          <w:right w:val="single" w:sz="8" w:space="0" w:color="74D1EA" w:themeColor="accent2"/>
          <w:insideH w:val="nil"/>
          <w:insideV w:val="single" w:sz="8" w:space="0" w:color="74D1E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D1EA" w:themeColor="accent2"/>
          <w:left w:val="single" w:sz="8" w:space="0" w:color="74D1EA" w:themeColor="accent2"/>
          <w:bottom w:val="single" w:sz="8" w:space="0" w:color="74D1EA" w:themeColor="accent2"/>
          <w:right w:val="single" w:sz="8" w:space="0" w:color="74D1EA" w:themeColor="accent2"/>
          <w:insideH w:val="nil"/>
          <w:insideV w:val="single" w:sz="8" w:space="0" w:color="74D1E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D1EA" w:themeColor="accent2"/>
          <w:left w:val="single" w:sz="8" w:space="0" w:color="74D1EA" w:themeColor="accent2"/>
          <w:bottom w:val="single" w:sz="8" w:space="0" w:color="74D1EA" w:themeColor="accent2"/>
          <w:right w:val="single" w:sz="8" w:space="0" w:color="74D1EA" w:themeColor="accent2"/>
        </w:tcBorders>
      </w:tcPr>
    </w:tblStylePr>
    <w:tblStylePr w:type="band1Vert">
      <w:tblPr/>
      <w:tcPr>
        <w:tcBorders>
          <w:top w:val="single" w:sz="8" w:space="0" w:color="74D1EA" w:themeColor="accent2"/>
          <w:left w:val="single" w:sz="8" w:space="0" w:color="74D1EA" w:themeColor="accent2"/>
          <w:bottom w:val="single" w:sz="8" w:space="0" w:color="74D1EA" w:themeColor="accent2"/>
          <w:right w:val="single" w:sz="8" w:space="0" w:color="74D1EA" w:themeColor="accent2"/>
        </w:tcBorders>
        <w:shd w:val="clear" w:color="auto" w:fill="DCF3F9" w:themeFill="accent2" w:themeFillTint="3F"/>
      </w:tcPr>
    </w:tblStylePr>
    <w:tblStylePr w:type="band1Horz">
      <w:tblPr/>
      <w:tcPr>
        <w:tcBorders>
          <w:top w:val="single" w:sz="8" w:space="0" w:color="74D1EA" w:themeColor="accent2"/>
          <w:left w:val="single" w:sz="8" w:space="0" w:color="74D1EA" w:themeColor="accent2"/>
          <w:bottom w:val="single" w:sz="8" w:space="0" w:color="74D1EA" w:themeColor="accent2"/>
          <w:right w:val="single" w:sz="8" w:space="0" w:color="74D1EA" w:themeColor="accent2"/>
          <w:insideV w:val="single" w:sz="8" w:space="0" w:color="74D1EA" w:themeColor="accent2"/>
        </w:tcBorders>
        <w:shd w:val="clear" w:color="auto" w:fill="DCF3F9" w:themeFill="accent2" w:themeFillTint="3F"/>
      </w:tcPr>
    </w:tblStylePr>
    <w:tblStylePr w:type="band2Horz">
      <w:tblPr/>
      <w:tcPr>
        <w:tcBorders>
          <w:top w:val="single" w:sz="8" w:space="0" w:color="74D1EA" w:themeColor="accent2"/>
          <w:left w:val="single" w:sz="8" w:space="0" w:color="74D1EA" w:themeColor="accent2"/>
          <w:bottom w:val="single" w:sz="8" w:space="0" w:color="74D1EA" w:themeColor="accent2"/>
          <w:right w:val="single" w:sz="8" w:space="0" w:color="74D1EA" w:themeColor="accent2"/>
          <w:insideV w:val="single" w:sz="8" w:space="0" w:color="74D1EA"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7FD5C5" w:themeColor="accent3"/>
        <w:left w:val="single" w:sz="8" w:space="0" w:color="7FD5C5" w:themeColor="accent3"/>
        <w:bottom w:val="single" w:sz="8" w:space="0" w:color="7FD5C5" w:themeColor="accent3"/>
        <w:right w:val="single" w:sz="8" w:space="0" w:color="7FD5C5" w:themeColor="accent3"/>
        <w:insideH w:val="single" w:sz="8" w:space="0" w:color="7FD5C5" w:themeColor="accent3"/>
        <w:insideV w:val="single" w:sz="8" w:space="0" w:color="7FD5C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D5C5" w:themeColor="accent3"/>
          <w:left w:val="single" w:sz="8" w:space="0" w:color="7FD5C5" w:themeColor="accent3"/>
          <w:bottom w:val="single" w:sz="18" w:space="0" w:color="7FD5C5" w:themeColor="accent3"/>
          <w:right w:val="single" w:sz="8" w:space="0" w:color="7FD5C5" w:themeColor="accent3"/>
          <w:insideH w:val="nil"/>
          <w:insideV w:val="single" w:sz="8" w:space="0" w:color="7FD5C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D5C5" w:themeColor="accent3"/>
          <w:left w:val="single" w:sz="8" w:space="0" w:color="7FD5C5" w:themeColor="accent3"/>
          <w:bottom w:val="single" w:sz="8" w:space="0" w:color="7FD5C5" w:themeColor="accent3"/>
          <w:right w:val="single" w:sz="8" w:space="0" w:color="7FD5C5" w:themeColor="accent3"/>
          <w:insideH w:val="nil"/>
          <w:insideV w:val="single" w:sz="8" w:space="0" w:color="7FD5C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D5C5" w:themeColor="accent3"/>
          <w:left w:val="single" w:sz="8" w:space="0" w:color="7FD5C5" w:themeColor="accent3"/>
          <w:bottom w:val="single" w:sz="8" w:space="0" w:color="7FD5C5" w:themeColor="accent3"/>
          <w:right w:val="single" w:sz="8" w:space="0" w:color="7FD5C5" w:themeColor="accent3"/>
        </w:tcBorders>
      </w:tcPr>
    </w:tblStylePr>
    <w:tblStylePr w:type="band1Vert">
      <w:tblPr/>
      <w:tcPr>
        <w:tcBorders>
          <w:top w:val="single" w:sz="8" w:space="0" w:color="7FD5C5" w:themeColor="accent3"/>
          <w:left w:val="single" w:sz="8" w:space="0" w:color="7FD5C5" w:themeColor="accent3"/>
          <w:bottom w:val="single" w:sz="8" w:space="0" w:color="7FD5C5" w:themeColor="accent3"/>
          <w:right w:val="single" w:sz="8" w:space="0" w:color="7FD5C5" w:themeColor="accent3"/>
        </w:tcBorders>
        <w:shd w:val="clear" w:color="auto" w:fill="DFF4F0" w:themeFill="accent3" w:themeFillTint="3F"/>
      </w:tcPr>
    </w:tblStylePr>
    <w:tblStylePr w:type="band1Horz">
      <w:tblPr/>
      <w:tcPr>
        <w:tcBorders>
          <w:top w:val="single" w:sz="8" w:space="0" w:color="7FD5C5" w:themeColor="accent3"/>
          <w:left w:val="single" w:sz="8" w:space="0" w:color="7FD5C5" w:themeColor="accent3"/>
          <w:bottom w:val="single" w:sz="8" w:space="0" w:color="7FD5C5" w:themeColor="accent3"/>
          <w:right w:val="single" w:sz="8" w:space="0" w:color="7FD5C5" w:themeColor="accent3"/>
          <w:insideV w:val="single" w:sz="8" w:space="0" w:color="7FD5C5" w:themeColor="accent3"/>
        </w:tcBorders>
        <w:shd w:val="clear" w:color="auto" w:fill="DFF4F0" w:themeFill="accent3" w:themeFillTint="3F"/>
      </w:tcPr>
    </w:tblStylePr>
    <w:tblStylePr w:type="band2Horz">
      <w:tblPr/>
      <w:tcPr>
        <w:tcBorders>
          <w:top w:val="single" w:sz="8" w:space="0" w:color="7FD5C5" w:themeColor="accent3"/>
          <w:left w:val="single" w:sz="8" w:space="0" w:color="7FD5C5" w:themeColor="accent3"/>
          <w:bottom w:val="single" w:sz="8" w:space="0" w:color="7FD5C5" w:themeColor="accent3"/>
          <w:right w:val="single" w:sz="8" w:space="0" w:color="7FD5C5" w:themeColor="accent3"/>
          <w:insideV w:val="single" w:sz="8" w:space="0" w:color="7FD5C5"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FBD476" w:themeColor="accent4"/>
        <w:left w:val="single" w:sz="8" w:space="0" w:color="FBD476" w:themeColor="accent4"/>
        <w:bottom w:val="single" w:sz="8" w:space="0" w:color="FBD476" w:themeColor="accent4"/>
        <w:right w:val="single" w:sz="8" w:space="0" w:color="FBD476" w:themeColor="accent4"/>
        <w:insideH w:val="single" w:sz="8" w:space="0" w:color="FBD476" w:themeColor="accent4"/>
        <w:insideV w:val="single" w:sz="8" w:space="0" w:color="FBD47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D476" w:themeColor="accent4"/>
          <w:left w:val="single" w:sz="8" w:space="0" w:color="FBD476" w:themeColor="accent4"/>
          <w:bottom w:val="single" w:sz="18" w:space="0" w:color="FBD476" w:themeColor="accent4"/>
          <w:right w:val="single" w:sz="8" w:space="0" w:color="FBD476" w:themeColor="accent4"/>
          <w:insideH w:val="nil"/>
          <w:insideV w:val="single" w:sz="8" w:space="0" w:color="FBD47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D476" w:themeColor="accent4"/>
          <w:left w:val="single" w:sz="8" w:space="0" w:color="FBD476" w:themeColor="accent4"/>
          <w:bottom w:val="single" w:sz="8" w:space="0" w:color="FBD476" w:themeColor="accent4"/>
          <w:right w:val="single" w:sz="8" w:space="0" w:color="FBD476" w:themeColor="accent4"/>
          <w:insideH w:val="nil"/>
          <w:insideV w:val="single" w:sz="8" w:space="0" w:color="FBD47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D476" w:themeColor="accent4"/>
          <w:left w:val="single" w:sz="8" w:space="0" w:color="FBD476" w:themeColor="accent4"/>
          <w:bottom w:val="single" w:sz="8" w:space="0" w:color="FBD476" w:themeColor="accent4"/>
          <w:right w:val="single" w:sz="8" w:space="0" w:color="FBD476" w:themeColor="accent4"/>
        </w:tcBorders>
      </w:tcPr>
    </w:tblStylePr>
    <w:tblStylePr w:type="band1Vert">
      <w:tblPr/>
      <w:tcPr>
        <w:tcBorders>
          <w:top w:val="single" w:sz="8" w:space="0" w:color="FBD476" w:themeColor="accent4"/>
          <w:left w:val="single" w:sz="8" w:space="0" w:color="FBD476" w:themeColor="accent4"/>
          <w:bottom w:val="single" w:sz="8" w:space="0" w:color="FBD476" w:themeColor="accent4"/>
          <w:right w:val="single" w:sz="8" w:space="0" w:color="FBD476" w:themeColor="accent4"/>
        </w:tcBorders>
        <w:shd w:val="clear" w:color="auto" w:fill="FEF4DC" w:themeFill="accent4" w:themeFillTint="3F"/>
      </w:tcPr>
    </w:tblStylePr>
    <w:tblStylePr w:type="band1Horz">
      <w:tblPr/>
      <w:tcPr>
        <w:tcBorders>
          <w:top w:val="single" w:sz="8" w:space="0" w:color="FBD476" w:themeColor="accent4"/>
          <w:left w:val="single" w:sz="8" w:space="0" w:color="FBD476" w:themeColor="accent4"/>
          <w:bottom w:val="single" w:sz="8" w:space="0" w:color="FBD476" w:themeColor="accent4"/>
          <w:right w:val="single" w:sz="8" w:space="0" w:color="FBD476" w:themeColor="accent4"/>
          <w:insideV w:val="single" w:sz="8" w:space="0" w:color="FBD476" w:themeColor="accent4"/>
        </w:tcBorders>
        <w:shd w:val="clear" w:color="auto" w:fill="FEF4DC" w:themeFill="accent4" w:themeFillTint="3F"/>
      </w:tcPr>
    </w:tblStylePr>
    <w:tblStylePr w:type="band2Horz">
      <w:tblPr/>
      <w:tcPr>
        <w:tcBorders>
          <w:top w:val="single" w:sz="8" w:space="0" w:color="FBD476" w:themeColor="accent4"/>
          <w:left w:val="single" w:sz="8" w:space="0" w:color="FBD476" w:themeColor="accent4"/>
          <w:bottom w:val="single" w:sz="8" w:space="0" w:color="FBD476" w:themeColor="accent4"/>
          <w:right w:val="single" w:sz="8" w:space="0" w:color="FBD476" w:themeColor="accent4"/>
          <w:insideV w:val="single" w:sz="8" w:space="0" w:color="FBD476"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EBA089" w:themeColor="accent5"/>
        <w:left w:val="single" w:sz="8" w:space="0" w:color="EBA089" w:themeColor="accent5"/>
        <w:bottom w:val="single" w:sz="8" w:space="0" w:color="EBA089" w:themeColor="accent5"/>
        <w:right w:val="single" w:sz="8" w:space="0" w:color="EBA089" w:themeColor="accent5"/>
        <w:insideH w:val="single" w:sz="8" w:space="0" w:color="EBA089" w:themeColor="accent5"/>
        <w:insideV w:val="single" w:sz="8" w:space="0" w:color="EBA08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A089" w:themeColor="accent5"/>
          <w:left w:val="single" w:sz="8" w:space="0" w:color="EBA089" w:themeColor="accent5"/>
          <w:bottom w:val="single" w:sz="18" w:space="0" w:color="EBA089" w:themeColor="accent5"/>
          <w:right w:val="single" w:sz="8" w:space="0" w:color="EBA089" w:themeColor="accent5"/>
          <w:insideH w:val="nil"/>
          <w:insideV w:val="single" w:sz="8" w:space="0" w:color="EBA08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A089" w:themeColor="accent5"/>
          <w:left w:val="single" w:sz="8" w:space="0" w:color="EBA089" w:themeColor="accent5"/>
          <w:bottom w:val="single" w:sz="8" w:space="0" w:color="EBA089" w:themeColor="accent5"/>
          <w:right w:val="single" w:sz="8" w:space="0" w:color="EBA089" w:themeColor="accent5"/>
          <w:insideH w:val="nil"/>
          <w:insideV w:val="single" w:sz="8" w:space="0" w:color="EBA08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A089" w:themeColor="accent5"/>
          <w:left w:val="single" w:sz="8" w:space="0" w:color="EBA089" w:themeColor="accent5"/>
          <w:bottom w:val="single" w:sz="8" w:space="0" w:color="EBA089" w:themeColor="accent5"/>
          <w:right w:val="single" w:sz="8" w:space="0" w:color="EBA089" w:themeColor="accent5"/>
        </w:tcBorders>
      </w:tcPr>
    </w:tblStylePr>
    <w:tblStylePr w:type="band1Vert">
      <w:tblPr/>
      <w:tcPr>
        <w:tcBorders>
          <w:top w:val="single" w:sz="8" w:space="0" w:color="EBA089" w:themeColor="accent5"/>
          <w:left w:val="single" w:sz="8" w:space="0" w:color="EBA089" w:themeColor="accent5"/>
          <w:bottom w:val="single" w:sz="8" w:space="0" w:color="EBA089" w:themeColor="accent5"/>
          <w:right w:val="single" w:sz="8" w:space="0" w:color="EBA089" w:themeColor="accent5"/>
        </w:tcBorders>
        <w:shd w:val="clear" w:color="auto" w:fill="FAE7E1" w:themeFill="accent5" w:themeFillTint="3F"/>
      </w:tcPr>
    </w:tblStylePr>
    <w:tblStylePr w:type="band1Horz">
      <w:tblPr/>
      <w:tcPr>
        <w:tcBorders>
          <w:top w:val="single" w:sz="8" w:space="0" w:color="EBA089" w:themeColor="accent5"/>
          <w:left w:val="single" w:sz="8" w:space="0" w:color="EBA089" w:themeColor="accent5"/>
          <w:bottom w:val="single" w:sz="8" w:space="0" w:color="EBA089" w:themeColor="accent5"/>
          <w:right w:val="single" w:sz="8" w:space="0" w:color="EBA089" w:themeColor="accent5"/>
          <w:insideV w:val="single" w:sz="8" w:space="0" w:color="EBA089" w:themeColor="accent5"/>
        </w:tcBorders>
        <w:shd w:val="clear" w:color="auto" w:fill="FAE7E1" w:themeFill="accent5" w:themeFillTint="3F"/>
      </w:tcPr>
    </w:tblStylePr>
    <w:tblStylePr w:type="band2Horz">
      <w:tblPr/>
      <w:tcPr>
        <w:tcBorders>
          <w:top w:val="single" w:sz="8" w:space="0" w:color="EBA089" w:themeColor="accent5"/>
          <w:left w:val="single" w:sz="8" w:space="0" w:color="EBA089" w:themeColor="accent5"/>
          <w:bottom w:val="single" w:sz="8" w:space="0" w:color="EBA089" w:themeColor="accent5"/>
          <w:right w:val="single" w:sz="8" w:space="0" w:color="EBA089" w:themeColor="accent5"/>
          <w:insideV w:val="single" w:sz="8" w:space="0" w:color="EBA089"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0F204B" w:themeColor="accent6"/>
        <w:left w:val="single" w:sz="8" w:space="0" w:color="0F204B" w:themeColor="accent6"/>
        <w:bottom w:val="single" w:sz="8" w:space="0" w:color="0F204B" w:themeColor="accent6"/>
        <w:right w:val="single" w:sz="8" w:space="0" w:color="0F204B" w:themeColor="accent6"/>
        <w:insideH w:val="single" w:sz="8" w:space="0" w:color="0F204B" w:themeColor="accent6"/>
        <w:insideV w:val="single" w:sz="8" w:space="0" w:color="0F204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204B" w:themeColor="accent6"/>
          <w:left w:val="single" w:sz="8" w:space="0" w:color="0F204B" w:themeColor="accent6"/>
          <w:bottom w:val="single" w:sz="18" w:space="0" w:color="0F204B" w:themeColor="accent6"/>
          <w:right w:val="single" w:sz="8" w:space="0" w:color="0F204B" w:themeColor="accent6"/>
          <w:insideH w:val="nil"/>
          <w:insideV w:val="single" w:sz="8" w:space="0" w:color="0F204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204B" w:themeColor="accent6"/>
          <w:left w:val="single" w:sz="8" w:space="0" w:color="0F204B" w:themeColor="accent6"/>
          <w:bottom w:val="single" w:sz="8" w:space="0" w:color="0F204B" w:themeColor="accent6"/>
          <w:right w:val="single" w:sz="8" w:space="0" w:color="0F204B" w:themeColor="accent6"/>
          <w:insideH w:val="nil"/>
          <w:insideV w:val="single" w:sz="8" w:space="0" w:color="0F204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204B" w:themeColor="accent6"/>
          <w:left w:val="single" w:sz="8" w:space="0" w:color="0F204B" w:themeColor="accent6"/>
          <w:bottom w:val="single" w:sz="8" w:space="0" w:color="0F204B" w:themeColor="accent6"/>
          <w:right w:val="single" w:sz="8" w:space="0" w:color="0F204B" w:themeColor="accent6"/>
        </w:tcBorders>
      </w:tcPr>
    </w:tblStylePr>
    <w:tblStylePr w:type="band1Vert">
      <w:tblPr/>
      <w:tcPr>
        <w:tcBorders>
          <w:top w:val="single" w:sz="8" w:space="0" w:color="0F204B" w:themeColor="accent6"/>
          <w:left w:val="single" w:sz="8" w:space="0" w:color="0F204B" w:themeColor="accent6"/>
          <w:bottom w:val="single" w:sz="8" w:space="0" w:color="0F204B" w:themeColor="accent6"/>
          <w:right w:val="single" w:sz="8" w:space="0" w:color="0F204B" w:themeColor="accent6"/>
        </w:tcBorders>
        <w:shd w:val="clear" w:color="auto" w:fill="A8BBED" w:themeFill="accent6" w:themeFillTint="3F"/>
      </w:tcPr>
    </w:tblStylePr>
    <w:tblStylePr w:type="band1Horz">
      <w:tblPr/>
      <w:tcPr>
        <w:tcBorders>
          <w:top w:val="single" w:sz="8" w:space="0" w:color="0F204B" w:themeColor="accent6"/>
          <w:left w:val="single" w:sz="8" w:space="0" w:color="0F204B" w:themeColor="accent6"/>
          <w:bottom w:val="single" w:sz="8" w:space="0" w:color="0F204B" w:themeColor="accent6"/>
          <w:right w:val="single" w:sz="8" w:space="0" w:color="0F204B" w:themeColor="accent6"/>
          <w:insideV w:val="single" w:sz="8" w:space="0" w:color="0F204B" w:themeColor="accent6"/>
        </w:tcBorders>
        <w:shd w:val="clear" w:color="auto" w:fill="A8BBED" w:themeFill="accent6" w:themeFillTint="3F"/>
      </w:tcPr>
    </w:tblStylePr>
    <w:tblStylePr w:type="band2Horz">
      <w:tblPr/>
      <w:tcPr>
        <w:tcBorders>
          <w:top w:val="single" w:sz="8" w:space="0" w:color="0F204B" w:themeColor="accent6"/>
          <w:left w:val="single" w:sz="8" w:space="0" w:color="0F204B" w:themeColor="accent6"/>
          <w:bottom w:val="single" w:sz="8" w:space="0" w:color="0F204B" w:themeColor="accent6"/>
          <w:right w:val="single" w:sz="8" w:space="0" w:color="0F204B" w:themeColor="accent6"/>
          <w:insideV w:val="single" w:sz="8" w:space="0" w:color="0F204B"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3D7EDB" w:themeColor="accent1"/>
        <w:left w:val="single" w:sz="8" w:space="0" w:color="3D7EDB" w:themeColor="accent1"/>
        <w:bottom w:val="single" w:sz="8" w:space="0" w:color="3D7EDB" w:themeColor="accent1"/>
        <w:right w:val="single" w:sz="8" w:space="0" w:color="3D7EDB" w:themeColor="accent1"/>
      </w:tblBorders>
    </w:tblPr>
    <w:tblStylePr w:type="firstRow">
      <w:pPr>
        <w:spacing w:before="0" w:after="0" w:line="240" w:lineRule="auto"/>
      </w:pPr>
      <w:rPr>
        <w:b/>
        <w:bCs/>
        <w:color w:val="FFFFFF" w:themeColor="background1"/>
      </w:rPr>
      <w:tblPr/>
      <w:tcPr>
        <w:shd w:val="clear" w:color="auto" w:fill="3D7EDB" w:themeFill="accent1"/>
      </w:tcPr>
    </w:tblStylePr>
    <w:tblStylePr w:type="lastRow">
      <w:pPr>
        <w:spacing w:before="0" w:after="0" w:line="240" w:lineRule="auto"/>
      </w:pPr>
      <w:rPr>
        <w:b/>
        <w:bCs/>
      </w:rPr>
      <w:tblPr/>
      <w:tcPr>
        <w:tcBorders>
          <w:top w:val="double" w:sz="6" w:space="0" w:color="3D7EDB" w:themeColor="accent1"/>
          <w:left w:val="single" w:sz="8" w:space="0" w:color="3D7EDB" w:themeColor="accent1"/>
          <w:bottom w:val="single" w:sz="8" w:space="0" w:color="3D7EDB" w:themeColor="accent1"/>
          <w:right w:val="single" w:sz="8" w:space="0" w:color="3D7EDB" w:themeColor="accent1"/>
        </w:tcBorders>
      </w:tcPr>
    </w:tblStylePr>
    <w:tblStylePr w:type="firstCol">
      <w:rPr>
        <w:b/>
        <w:bCs/>
      </w:rPr>
    </w:tblStylePr>
    <w:tblStylePr w:type="lastCol">
      <w:rPr>
        <w:b/>
        <w:bCs/>
      </w:rPr>
    </w:tblStylePr>
    <w:tblStylePr w:type="band1Vert">
      <w:tblPr/>
      <w:tcPr>
        <w:tcBorders>
          <w:top w:val="single" w:sz="8" w:space="0" w:color="3D7EDB" w:themeColor="accent1"/>
          <w:left w:val="single" w:sz="8" w:space="0" w:color="3D7EDB" w:themeColor="accent1"/>
          <w:bottom w:val="single" w:sz="8" w:space="0" w:color="3D7EDB" w:themeColor="accent1"/>
          <w:right w:val="single" w:sz="8" w:space="0" w:color="3D7EDB" w:themeColor="accent1"/>
        </w:tcBorders>
      </w:tcPr>
    </w:tblStylePr>
    <w:tblStylePr w:type="band1Horz">
      <w:tblPr/>
      <w:tcPr>
        <w:tcBorders>
          <w:top w:val="single" w:sz="8" w:space="0" w:color="3D7EDB" w:themeColor="accent1"/>
          <w:left w:val="single" w:sz="8" w:space="0" w:color="3D7EDB" w:themeColor="accent1"/>
          <w:bottom w:val="single" w:sz="8" w:space="0" w:color="3D7EDB" w:themeColor="accent1"/>
          <w:right w:val="single" w:sz="8" w:space="0" w:color="3D7EDB"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74D1EA" w:themeColor="accent2"/>
        <w:left w:val="single" w:sz="8" w:space="0" w:color="74D1EA" w:themeColor="accent2"/>
        <w:bottom w:val="single" w:sz="8" w:space="0" w:color="74D1EA" w:themeColor="accent2"/>
        <w:right w:val="single" w:sz="8" w:space="0" w:color="74D1EA" w:themeColor="accent2"/>
      </w:tblBorders>
    </w:tblPr>
    <w:tblStylePr w:type="firstRow">
      <w:pPr>
        <w:spacing w:before="0" w:after="0" w:line="240" w:lineRule="auto"/>
      </w:pPr>
      <w:rPr>
        <w:b/>
        <w:bCs/>
        <w:color w:val="FFFFFF" w:themeColor="background1"/>
      </w:rPr>
      <w:tblPr/>
      <w:tcPr>
        <w:shd w:val="clear" w:color="auto" w:fill="74D1EA" w:themeFill="accent2"/>
      </w:tcPr>
    </w:tblStylePr>
    <w:tblStylePr w:type="lastRow">
      <w:pPr>
        <w:spacing w:before="0" w:after="0" w:line="240" w:lineRule="auto"/>
      </w:pPr>
      <w:rPr>
        <w:b/>
        <w:bCs/>
      </w:rPr>
      <w:tblPr/>
      <w:tcPr>
        <w:tcBorders>
          <w:top w:val="double" w:sz="6" w:space="0" w:color="74D1EA" w:themeColor="accent2"/>
          <w:left w:val="single" w:sz="8" w:space="0" w:color="74D1EA" w:themeColor="accent2"/>
          <w:bottom w:val="single" w:sz="8" w:space="0" w:color="74D1EA" w:themeColor="accent2"/>
          <w:right w:val="single" w:sz="8" w:space="0" w:color="74D1EA" w:themeColor="accent2"/>
        </w:tcBorders>
      </w:tcPr>
    </w:tblStylePr>
    <w:tblStylePr w:type="firstCol">
      <w:rPr>
        <w:b/>
        <w:bCs/>
      </w:rPr>
    </w:tblStylePr>
    <w:tblStylePr w:type="lastCol">
      <w:rPr>
        <w:b/>
        <w:bCs/>
      </w:rPr>
    </w:tblStylePr>
    <w:tblStylePr w:type="band1Vert">
      <w:tblPr/>
      <w:tcPr>
        <w:tcBorders>
          <w:top w:val="single" w:sz="8" w:space="0" w:color="74D1EA" w:themeColor="accent2"/>
          <w:left w:val="single" w:sz="8" w:space="0" w:color="74D1EA" w:themeColor="accent2"/>
          <w:bottom w:val="single" w:sz="8" w:space="0" w:color="74D1EA" w:themeColor="accent2"/>
          <w:right w:val="single" w:sz="8" w:space="0" w:color="74D1EA" w:themeColor="accent2"/>
        </w:tcBorders>
      </w:tcPr>
    </w:tblStylePr>
    <w:tblStylePr w:type="band1Horz">
      <w:tblPr/>
      <w:tcPr>
        <w:tcBorders>
          <w:top w:val="single" w:sz="8" w:space="0" w:color="74D1EA" w:themeColor="accent2"/>
          <w:left w:val="single" w:sz="8" w:space="0" w:color="74D1EA" w:themeColor="accent2"/>
          <w:bottom w:val="single" w:sz="8" w:space="0" w:color="74D1EA" w:themeColor="accent2"/>
          <w:right w:val="single" w:sz="8" w:space="0" w:color="74D1EA"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7FD5C5" w:themeColor="accent3"/>
        <w:left w:val="single" w:sz="8" w:space="0" w:color="7FD5C5" w:themeColor="accent3"/>
        <w:bottom w:val="single" w:sz="8" w:space="0" w:color="7FD5C5" w:themeColor="accent3"/>
        <w:right w:val="single" w:sz="8" w:space="0" w:color="7FD5C5" w:themeColor="accent3"/>
      </w:tblBorders>
    </w:tblPr>
    <w:tblStylePr w:type="firstRow">
      <w:pPr>
        <w:spacing w:before="0" w:after="0" w:line="240" w:lineRule="auto"/>
      </w:pPr>
      <w:rPr>
        <w:b/>
        <w:bCs/>
        <w:color w:val="FFFFFF" w:themeColor="background1"/>
      </w:rPr>
      <w:tblPr/>
      <w:tcPr>
        <w:shd w:val="clear" w:color="auto" w:fill="7FD5C5" w:themeFill="accent3"/>
      </w:tcPr>
    </w:tblStylePr>
    <w:tblStylePr w:type="lastRow">
      <w:pPr>
        <w:spacing w:before="0" w:after="0" w:line="240" w:lineRule="auto"/>
      </w:pPr>
      <w:rPr>
        <w:b/>
        <w:bCs/>
      </w:rPr>
      <w:tblPr/>
      <w:tcPr>
        <w:tcBorders>
          <w:top w:val="double" w:sz="6" w:space="0" w:color="7FD5C5" w:themeColor="accent3"/>
          <w:left w:val="single" w:sz="8" w:space="0" w:color="7FD5C5" w:themeColor="accent3"/>
          <w:bottom w:val="single" w:sz="8" w:space="0" w:color="7FD5C5" w:themeColor="accent3"/>
          <w:right w:val="single" w:sz="8" w:space="0" w:color="7FD5C5" w:themeColor="accent3"/>
        </w:tcBorders>
      </w:tcPr>
    </w:tblStylePr>
    <w:tblStylePr w:type="firstCol">
      <w:rPr>
        <w:b/>
        <w:bCs/>
      </w:rPr>
    </w:tblStylePr>
    <w:tblStylePr w:type="lastCol">
      <w:rPr>
        <w:b/>
        <w:bCs/>
      </w:rPr>
    </w:tblStylePr>
    <w:tblStylePr w:type="band1Vert">
      <w:tblPr/>
      <w:tcPr>
        <w:tcBorders>
          <w:top w:val="single" w:sz="8" w:space="0" w:color="7FD5C5" w:themeColor="accent3"/>
          <w:left w:val="single" w:sz="8" w:space="0" w:color="7FD5C5" w:themeColor="accent3"/>
          <w:bottom w:val="single" w:sz="8" w:space="0" w:color="7FD5C5" w:themeColor="accent3"/>
          <w:right w:val="single" w:sz="8" w:space="0" w:color="7FD5C5" w:themeColor="accent3"/>
        </w:tcBorders>
      </w:tcPr>
    </w:tblStylePr>
    <w:tblStylePr w:type="band1Horz">
      <w:tblPr/>
      <w:tcPr>
        <w:tcBorders>
          <w:top w:val="single" w:sz="8" w:space="0" w:color="7FD5C5" w:themeColor="accent3"/>
          <w:left w:val="single" w:sz="8" w:space="0" w:color="7FD5C5" w:themeColor="accent3"/>
          <w:bottom w:val="single" w:sz="8" w:space="0" w:color="7FD5C5" w:themeColor="accent3"/>
          <w:right w:val="single" w:sz="8" w:space="0" w:color="7FD5C5"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FBD476" w:themeColor="accent4"/>
        <w:left w:val="single" w:sz="8" w:space="0" w:color="FBD476" w:themeColor="accent4"/>
        <w:bottom w:val="single" w:sz="8" w:space="0" w:color="FBD476" w:themeColor="accent4"/>
        <w:right w:val="single" w:sz="8" w:space="0" w:color="FBD476" w:themeColor="accent4"/>
      </w:tblBorders>
    </w:tblPr>
    <w:tblStylePr w:type="firstRow">
      <w:pPr>
        <w:spacing w:before="0" w:after="0" w:line="240" w:lineRule="auto"/>
      </w:pPr>
      <w:rPr>
        <w:b/>
        <w:bCs/>
        <w:color w:val="FFFFFF" w:themeColor="background1"/>
      </w:rPr>
      <w:tblPr/>
      <w:tcPr>
        <w:shd w:val="clear" w:color="auto" w:fill="FBD476" w:themeFill="accent4"/>
      </w:tcPr>
    </w:tblStylePr>
    <w:tblStylePr w:type="lastRow">
      <w:pPr>
        <w:spacing w:before="0" w:after="0" w:line="240" w:lineRule="auto"/>
      </w:pPr>
      <w:rPr>
        <w:b/>
        <w:bCs/>
      </w:rPr>
      <w:tblPr/>
      <w:tcPr>
        <w:tcBorders>
          <w:top w:val="double" w:sz="6" w:space="0" w:color="FBD476" w:themeColor="accent4"/>
          <w:left w:val="single" w:sz="8" w:space="0" w:color="FBD476" w:themeColor="accent4"/>
          <w:bottom w:val="single" w:sz="8" w:space="0" w:color="FBD476" w:themeColor="accent4"/>
          <w:right w:val="single" w:sz="8" w:space="0" w:color="FBD476" w:themeColor="accent4"/>
        </w:tcBorders>
      </w:tcPr>
    </w:tblStylePr>
    <w:tblStylePr w:type="firstCol">
      <w:rPr>
        <w:b/>
        <w:bCs/>
      </w:rPr>
    </w:tblStylePr>
    <w:tblStylePr w:type="lastCol">
      <w:rPr>
        <w:b/>
        <w:bCs/>
      </w:rPr>
    </w:tblStylePr>
    <w:tblStylePr w:type="band1Vert">
      <w:tblPr/>
      <w:tcPr>
        <w:tcBorders>
          <w:top w:val="single" w:sz="8" w:space="0" w:color="FBD476" w:themeColor="accent4"/>
          <w:left w:val="single" w:sz="8" w:space="0" w:color="FBD476" w:themeColor="accent4"/>
          <w:bottom w:val="single" w:sz="8" w:space="0" w:color="FBD476" w:themeColor="accent4"/>
          <w:right w:val="single" w:sz="8" w:space="0" w:color="FBD476" w:themeColor="accent4"/>
        </w:tcBorders>
      </w:tcPr>
    </w:tblStylePr>
    <w:tblStylePr w:type="band1Horz">
      <w:tblPr/>
      <w:tcPr>
        <w:tcBorders>
          <w:top w:val="single" w:sz="8" w:space="0" w:color="FBD476" w:themeColor="accent4"/>
          <w:left w:val="single" w:sz="8" w:space="0" w:color="FBD476" w:themeColor="accent4"/>
          <w:bottom w:val="single" w:sz="8" w:space="0" w:color="FBD476" w:themeColor="accent4"/>
          <w:right w:val="single" w:sz="8" w:space="0" w:color="FBD476"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EBA089" w:themeColor="accent5"/>
        <w:left w:val="single" w:sz="8" w:space="0" w:color="EBA089" w:themeColor="accent5"/>
        <w:bottom w:val="single" w:sz="8" w:space="0" w:color="EBA089" w:themeColor="accent5"/>
        <w:right w:val="single" w:sz="8" w:space="0" w:color="EBA089" w:themeColor="accent5"/>
      </w:tblBorders>
    </w:tblPr>
    <w:tblStylePr w:type="firstRow">
      <w:pPr>
        <w:spacing w:before="0" w:after="0" w:line="240" w:lineRule="auto"/>
      </w:pPr>
      <w:rPr>
        <w:b/>
        <w:bCs/>
        <w:color w:val="FFFFFF" w:themeColor="background1"/>
      </w:rPr>
      <w:tblPr/>
      <w:tcPr>
        <w:shd w:val="clear" w:color="auto" w:fill="EBA089" w:themeFill="accent5"/>
      </w:tcPr>
    </w:tblStylePr>
    <w:tblStylePr w:type="lastRow">
      <w:pPr>
        <w:spacing w:before="0" w:after="0" w:line="240" w:lineRule="auto"/>
      </w:pPr>
      <w:rPr>
        <w:b/>
        <w:bCs/>
      </w:rPr>
      <w:tblPr/>
      <w:tcPr>
        <w:tcBorders>
          <w:top w:val="double" w:sz="6" w:space="0" w:color="EBA089" w:themeColor="accent5"/>
          <w:left w:val="single" w:sz="8" w:space="0" w:color="EBA089" w:themeColor="accent5"/>
          <w:bottom w:val="single" w:sz="8" w:space="0" w:color="EBA089" w:themeColor="accent5"/>
          <w:right w:val="single" w:sz="8" w:space="0" w:color="EBA089" w:themeColor="accent5"/>
        </w:tcBorders>
      </w:tcPr>
    </w:tblStylePr>
    <w:tblStylePr w:type="firstCol">
      <w:rPr>
        <w:b/>
        <w:bCs/>
      </w:rPr>
    </w:tblStylePr>
    <w:tblStylePr w:type="lastCol">
      <w:rPr>
        <w:b/>
        <w:bCs/>
      </w:rPr>
    </w:tblStylePr>
    <w:tblStylePr w:type="band1Vert">
      <w:tblPr/>
      <w:tcPr>
        <w:tcBorders>
          <w:top w:val="single" w:sz="8" w:space="0" w:color="EBA089" w:themeColor="accent5"/>
          <w:left w:val="single" w:sz="8" w:space="0" w:color="EBA089" w:themeColor="accent5"/>
          <w:bottom w:val="single" w:sz="8" w:space="0" w:color="EBA089" w:themeColor="accent5"/>
          <w:right w:val="single" w:sz="8" w:space="0" w:color="EBA089" w:themeColor="accent5"/>
        </w:tcBorders>
      </w:tcPr>
    </w:tblStylePr>
    <w:tblStylePr w:type="band1Horz">
      <w:tblPr/>
      <w:tcPr>
        <w:tcBorders>
          <w:top w:val="single" w:sz="8" w:space="0" w:color="EBA089" w:themeColor="accent5"/>
          <w:left w:val="single" w:sz="8" w:space="0" w:color="EBA089" w:themeColor="accent5"/>
          <w:bottom w:val="single" w:sz="8" w:space="0" w:color="EBA089" w:themeColor="accent5"/>
          <w:right w:val="single" w:sz="8" w:space="0" w:color="EBA089"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0F204B" w:themeColor="accent6"/>
        <w:left w:val="single" w:sz="8" w:space="0" w:color="0F204B" w:themeColor="accent6"/>
        <w:bottom w:val="single" w:sz="8" w:space="0" w:color="0F204B" w:themeColor="accent6"/>
        <w:right w:val="single" w:sz="8" w:space="0" w:color="0F204B" w:themeColor="accent6"/>
      </w:tblBorders>
    </w:tblPr>
    <w:tblStylePr w:type="firstRow">
      <w:pPr>
        <w:spacing w:before="0" w:after="0" w:line="240" w:lineRule="auto"/>
      </w:pPr>
      <w:rPr>
        <w:b/>
        <w:bCs/>
        <w:color w:val="FFFFFF" w:themeColor="background1"/>
      </w:rPr>
      <w:tblPr/>
      <w:tcPr>
        <w:shd w:val="clear" w:color="auto" w:fill="0F204B" w:themeFill="accent6"/>
      </w:tcPr>
    </w:tblStylePr>
    <w:tblStylePr w:type="lastRow">
      <w:pPr>
        <w:spacing w:before="0" w:after="0" w:line="240" w:lineRule="auto"/>
      </w:pPr>
      <w:rPr>
        <w:b/>
        <w:bCs/>
      </w:rPr>
      <w:tblPr/>
      <w:tcPr>
        <w:tcBorders>
          <w:top w:val="double" w:sz="6" w:space="0" w:color="0F204B" w:themeColor="accent6"/>
          <w:left w:val="single" w:sz="8" w:space="0" w:color="0F204B" w:themeColor="accent6"/>
          <w:bottom w:val="single" w:sz="8" w:space="0" w:color="0F204B" w:themeColor="accent6"/>
          <w:right w:val="single" w:sz="8" w:space="0" w:color="0F204B" w:themeColor="accent6"/>
        </w:tcBorders>
      </w:tcPr>
    </w:tblStylePr>
    <w:tblStylePr w:type="firstCol">
      <w:rPr>
        <w:b/>
        <w:bCs/>
      </w:rPr>
    </w:tblStylePr>
    <w:tblStylePr w:type="lastCol">
      <w:rPr>
        <w:b/>
        <w:bCs/>
      </w:rPr>
    </w:tblStylePr>
    <w:tblStylePr w:type="band1Vert">
      <w:tblPr/>
      <w:tcPr>
        <w:tcBorders>
          <w:top w:val="single" w:sz="8" w:space="0" w:color="0F204B" w:themeColor="accent6"/>
          <w:left w:val="single" w:sz="8" w:space="0" w:color="0F204B" w:themeColor="accent6"/>
          <w:bottom w:val="single" w:sz="8" w:space="0" w:color="0F204B" w:themeColor="accent6"/>
          <w:right w:val="single" w:sz="8" w:space="0" w:color="0F204B" w:themeColor="accent6"/>
        </w:tcBorders>
      </w:tcPr>
    </w:tblStylePr>
    <w:tblStylePr w:type="band1Horz">
      <w:tblPr/>
      <w:tcPr>
        <w:tcBorders>
          <w:top w:val="single" w:sz="8" w:space="0" w:color="0F204B" w:themeColor="accent6"/>
          <w:left w:val="single" w:sz="8" w:space="0" w:color="0F204B" w:themeColor="accent6"/>
          <w:bottom w:val="single" w:sz="8" w:space="0" w:color="0F204B" w:themeColor="accent6"/>
          <w:right w:val="single" w:sz="8" w:space="0" w:color="0F204B" w:themeColor="accent6"/>
        </w:tcBorders>
      </w:tcPr>
    </w:tblStylePr>
  </w:style>
  <w:style w:type="table" w:styleId="LightShading">
    <w:name w:val="Light Shading"/>
    <w:basedOn w:val="TableNormal"/>
    <w:uiPriority w:val="60"/>
    <w:semiHidden/>
    <w:rsid w:val="0058629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8629F"/>
    <w:pPr>
      <w:spacing w:line="240" w:lineRule="auto"/>
    </w:pPr>
    <w:rPr>
      <w:color w:val="205BB0" w:themeColor="accent1" w:themeShade="BF"/>
    </w:rPr>
    <w:tblPr>
      <w:tblStyleRowBandSize w:val="1"/>
      <w:tblStyleColBandSize w:val="1"/>
      <w:tblBorders>
        <w:top w:val="single" w:sz="8" w:space="0" w:color="3D7EDB" w:themeColor="accent1"/>
        <w:bottom w:val="single" w:sz="8" w:space="0" w:color="3D7EDB" w:themeColor="accent1"/>
      </w:tblBorders>
    </w:tblPr>
    <w:tblStylePr w:type="firstRow">
      <w:pPr>
        <w:spacing w:before="0" w:after="0" w:line="240" w:lineRule="auto"/>
      </w:pPr>
      <w:rPr>
        <w:b/>
        <w:bCs/>
      </w:rPr>
      <w:tblPr/>
      <w:tcPr>
        <w:tcBorders>
          <w:top w:val="single" w:sz="8" w:space="0" w:color="3D7EDB" w:themeColor="accent1"/>
          <w:left w:val="nil"/>
          <w:bottom w:val="single" w:sz="8" w:space="0" w:color="3D7EDB" w:themeColor="accent1"/>
          <w:right w:val="nil"/>
          <w:insideH w:val="nil"/>
          <w:insideV w:val="nil"/>
        </w:tcBorders>
      </w:tcPr>
    </w:tblStylePr>
    <w:tblStylePr w:type="lastRow">
      <w:pPr>
        <w:spacing w:before="0" w:after="0" w:line="240" w:lineRule="auto"/>
      </w:pPr>
      <w:rPr>
        <w:b/>
        <w:bCs/>
      </w:rPr>
      <w:tblPr/>
      <w:tcPr>
        <w:tcBorders>
          <w:top w:val="single" w:sz="8" w:space="0" w:color="3D7EDB" w:themeColor="accent1"/>
          <w:left w:val="nil"/>
          <w:bottom w:val="single" w:sz="8" w:space="0" w:color="3D7ED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EF6" w:themeFill="accent1" w:themeFillTint="3F"/>
      </w:tcPr>
    </w:tblStylePr>
    <w:tblStylePr w:type="band1Horz">
      <w:tblPr/>
      <w:tcPr>
        <w:tcBorders>
          <w:left w:val="nil"/>
          <w:right w:val="nil"/>
          <w:insideH w:val="nil"/>
          <w:insideV w:val="nil"/>
        </w:tcBorders>
        <w:shd w:val="clear" w:color="auto" w:fill="CEDEF6" w:themeFill="accent1" w:themeFillTint="3F"/>
      </w:tcPr>
    </w:tblStylePr>
  </w:style>
  <w:style w:type="table" w:styleId="LightShading-Accent2">
    <w:name w:val="Light Shading Accent 2"/>
    <w:basedOn w:val="TableNormal"/>
    <w:uiPriority w:val="60"/>
    <w:semiHidden/>
    <w:rsid w:val="0058629F"/>
    <w:pPr>
      <w:spacing w:line="240" w:lineRule="auto"/>
    </w:pPr>
    <w:rPr>
      <w:color w:val="27B7DE" w:themeColor="accent2" w:themeShade="BF"/>
    </w:rPr>
    <w:tblPr>
      <w:tblStyleRowBandSize w:val="1"/>
      <w:tblStyleColBandSize w:val="1"/>
      <w:tblBorders>
        <w:top w:val="single" w:sz="8" w:space="0" w:color="74D1EA" w:themeColor="accent2"/>
        <w:bottom w:val="single" w:sz="8" w:space="0" w:color="74D1EA" w:themeColor="accent2"/>
      </w:tblBorders>
    </w:tblPr>
    <w:tblStylePr w:type="firstRow">
      <w:pPr>
        <w:spacing w:before="0" w:after="0" w:line="240" w:lineRule="auto"/>
      </w:pPr>
      <w:rPr>
        <w:b/>
        <w:bCs/>
      </w:rPr>
      <w:tblPr/>
      <w:tcPr>
        <w:tcBorders>
          <w:top w:val="single" w:sz="8" w:space="0" w:color="74D1EA" w:themeColor="accent2"/>
          <w:left w:val="nil"/>
          <w:bottom w:val="single" w:sz="8" w:space="0" w:color="74D1EA" w:themeColor="accent2"/>
          <w:right w:val="nil"/>
          <w:insideH w:val="nil"/>
          <w:insideV w:val="nil"/>
        </w:tcBorders>
      </w:tcPr>
    </w:tblStylePr>
    <w:tblStylePr w:type="lastRow">
      <w:pPr>
        <w:spacing w:before="0" w:after="0" w:line="240" w:lineRule="auto"/>
      </w:pPr>
      <w:rPr>
        <w:b/>
        <w:bCs/>
      </w:rPr>
      <w:tblPr/>
      <w:tcPr>
        <w:tcBorders>
          <w:top w:val="single" w:sz="8" w:space="0" w:color="74D1EA" w:themeColor="accent2"/>
          <w:left w:val="nil"/>
          <w:bottom w:val="single" w:sz="8" w:space="0" w:color="74D1E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3F9" w:themeFill="accent2" w:themeFillTint="3F"/>
      </w:tcPr>
    </w:tblStylePr>
    <w:tblStylePr w:type="band1Horz">
      <w:tblPr/>
      <w:tcPr>
        <w:tcBorders>
          <w:left w:val="nil"/>
          <w:right w:val="nil"/>
          <w:insideH w:val="nil"/>
          <w:insideV w:val="nil"/>
        </w:tcBorders>
        <w:shd w:val="clear" w:color="auto" w:fill="DCF3F9" w:themeFill="accent2" w:themeFillTint="3F"/>
      </w:tcPr>
    </w:tblStylePr>
  </w:style>
  <w:style w:type="table" w:styleId="LightShading-Accent3">
    <w:name w:val="Light Shading Accent 3"/>
    <w:basedOn w:val="TableNormal"/>
    <w:uiPriority w:val="60"/>
    <w:semiHidden/>
    <w:rsid w:val="0058629F"/>
    <w:pPr>
      <w:spacing w:line="240" w:lineRule="auto"/>
    </w:pPr>
    <w:rPr>
      <w:color w:val="3FBFA7" w:themeColor="accent3" w:themeShade="BF"/>
    </w:rPr>
    <w:tblPr>
      <w:tblStyleRowBandSize w:val="1"/>
      <w:tblStyleColBandSize w:val="1"/>
      <w:tblBorders>
        <w:top w:val="single" w:sz="8" w:space="0" w:color="7FD5C5" w:themeColor="accent3"/>
        <w:bottom w:val="single" w:sz="8" w:space="0" w:color="7FD5C5" w:themeColor="accent3"/>
      </w:tblBorders>
    </w:tblPr>
    <w:tblStylePr w:type="firstRow">
      <w:pPr>
        <w:spacing w:before="0" w:after="0" w:line="240" w:lineRule="auto"/>
      </w:pPr>
      <w:rPr>
        <w:b/>
        <w:bCs/>
      </w:rPr>
      <w:tblPr/>
      <w:tcPr>
        <w:tcBorders>
          <w:top w:val="single" w:sz="8" w:space="0" w:color="7FD5C5" w:themeColor="accent3"/>
          <w:left w:val="nil"/>
          <w:bottom w:val="single" w:sz="8" w:space="0" w:color="7FD5C5" w:themeColor="accent3"/>
          <w:right w:val="nil"/>
          <w:insideH w:val="nil"/>
          <w:insideV w:val="nil"/>
        </w:tcBorders>
      </w:tcPr>
    </w:tblStylePr>
    <w:tblStylePr w:type="lastRow">
      <w:pPr>
        <w:spacing w:before="0" w:after="0" w:line="240" w:lineRule="auto"/>
      </w:pPr>
      <w:rPr>
        <w:b/>
        <w:bCs/>
      </w:rPr>
      <w:tblPr/>
      <w:tcPr>
        <w:tcBorders>
          <w:top w:val="single" w:sz="8" w:space="0" w:color="7FD5C5" w:themeColor="accent3"/>
          <w:left w:val="nil"/>
          <w:bottom w:val="single" w:sz="8" w:space="0" w:color="7FD5C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4F0" w:themeFill="accent3" w:themeFillTint="3F"/>
      </w:tcPr>
    </w:tblStylePr>
    <w:tblStylePr w:type="band1Horz">
      <w:tblPr/>
      <w:tcPr>
        <w:tcBorders>
          <w:left w:val="nil"/>
          <w:right w:val="nil"/>
          <w:insideH w:val="nil"/>
          <w:insideV w:val="nil"/>
        </w:tcBorders>
        <w:shd w:val="clear" w:color="auto" w:fill="DFF4F0" w:themeFill="accent3" w:themeFillTint="3F"/>
      </w:tcPr>
    </w:tblStylePr>
  </w:style>
  <w:style w:type="table" w:styleId="LightShading-Accent4">
    <w:name w:val="Light Shading Accent 4"/>
    <w:basedOn w:val="TableNormal"/>
    <w:uiPriority w:val="60"/>
    <w:semiHidden/>
    <w:rsid w:val="0058629F"/>
    <w:pPr>
      <w:spacing w:line="240" w:lineRule="auto"/>
    </w:pPr>
    <w:rPr>
      <w:color w:val="F8B71B" w:themeColor="accent4" w:themeShade="BF"/>
    </w:rPr>
    <w:tblPr>
      <w:tblStyleRowBandSize w:val="1"/>
      <w:tblStyleColBandSize w:val="1"/>
      <w:tblBorders>
        <w:top w:val="single" w:sz="8" w:space="0" w:color="FBD476" w:themeColor="accent4"/>
        <w:bottom w:val="single" w:sz="8" w:space="0" w:color="FBD476" w:themeColor="accent4"/>
      </w:tblBorders>
    </w:tblPr>
    <w:tblStylePr w:type="firstRow">
      <w:pPr>
        <w:spacing w:before="0" w:after="0" w:line="240" w:lineRule="auto"/>
      </w:pPr>
      <w:rPr>
        <w:b/>
        <w:bCs/>
      </w:rPr>
      <w:tblPr/>
      <w:tcPr>
        <w:tcBorders>
          <w:top w:val="single" w:sz="8" w:space="0" w:color="FBD476" w:themeColor="accent4"/>
          <w:left w:val="nil"/>
          <w:bottom w:val="single" w:sz="8" w:space="0" w:color="FBD476" w:themeColor="accent4"/>
          <w:right w:val="nil"/>
          <w:insideH w:val="nil"/>
          <w:insideV w:val="nil"/>
        </w:tcBorders>
      </w:tcPr>
    </w:tblStylePr>
    <w:tblStylePr w:type="lastRow">
      <w:pPr>
        <w:spacing w:before="0" w:after="0" w:line="240" w:lineRule="auto"/>
      </w:pPr>
      <w:rPr>
        <w:b/>
        <w:bCs/>
      </w:rPr>
      <w:tblPr/>
      <w:tcPr>
        <w:tcBorders>
          <w:top w:val="single" w:sz="8" w:space="0" w:color="FBD476" w:themeColor="accent4"/>
          <w:left w:val="nil"/>
          <w:bottom w:val="single" w:sz="8" w:space="0" w:color="FBD47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4DC" w:themeFill="accent4" w:themeFillTint="3F"/>
      </w:tcPr>
    </w:tblStylePr>
    <w:tblStylePr w:type="band1Horz">
      <w:tblPr/>
      <w:tcPr>
        <w:tcBorders>
          <w:left w:val="nil"/>
          <w:right w:val="nil"/>
          <w:insideH w:val="nil"/>
          <w:insideV w:val="nil"/>
        </w:tcBorders>
        <w:shd w:val="clear" w:color="auto" w:fill="FEF4DC" w:themeFill="accent4" w:themeFillTint="3F"/>
      </w:tcPr>
    </w:tblStylePr>
  </w:style>
  <w:style w:type="table" w:styleId="LightShading-Accent5">
    <w:name w:val="Light Shading Accent 5"/>
    <w:basedOn w:val="TableNormal"/>
    <w:uiPriority w:val="60"/>
    <w:semiHidden/>
    <w:rsid w:val="0058629F"/>
    <w:pPr>
      <w:spacing w:line="240" w:lineRule="auto"/>
    </w:pPr>
    <w:rPr>
      <w:color w:val="DD5E38" w:themeColor="accent5" w:themeShade="BF"/>
    </w:rPr>
    <w:tblPr>
      <w:tblStyleRowBandSize w:val="1"/>
      <w:tblStyleColBandSize w:val="1"/>
      <w:tblBorders>
        <w:top w:val="single" w:sz="8" w:space="0" w:color="EBA089" w:themeColor="accent5"/>
        <w:bottom w:val="single" w:sz="8" w:space="0" w:color="EBA089" w:themeColor="accent5"/>
      </w:tblBorders>
    </w:tblPr>
    <w:tblStylePr w:type="firstRow">
      <w:pPr>
        <w:spacing w:before="0" w:after="0" w:line="240" w:lineRule="auto"/>
      </w:pPr>
      <w:rPr>
        <w:b/>
        <w:bCs/>
      </w:rPr>
      <w:tblPr/>
      <w:tcPr>
        <w:tcBorders>
          <w:top w:val="single" w:sz="8" w:space="0" w:color="EBA089" w:themeColor="accent5"/>
          <w:left w:val="nil"/>
          <w:bottom w:val="single" w:sz="8" w:space="0" w:color="EBA089" w:themeColor="accent5"/>
          <w:right w:val="nil"/>
          <w:insideH w:val="nil"/>
          <w:insideV w:val="nil"/>
        </w:tcBorders>
      </w:tcPr>
    </w:tblStylePr>
    <w:tblStylePr w:type="lastRow">
      <w:pPr>
        <w:spacing w:before="0" w:after="0" w:line="240" w:lineRule="auto"/>
      </w:pPr>
      <w:rPr>
        <w:b/>
        <w:bCs/>
      </w:rPr>
      <w:tblPr/>
      <w:tcPr>
        <w:tcBorders>
          <w:top w:val="single" w:sz="8" w:space="0" w:color="EBA089" w:themeColor="accent5"/>
          <w:left w:val="nil"/>
          <w:bottom w:val="single" w:sz="8" w:space="0" w:color="EBA08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7E1" w:themeFill="accent5" w:themeFillTint="3F"/>
      </w:tcPr>
    </w:tblStylePr>
    <w:tblStylePr w:type="band1Horz">
      <w:tblPr/>
      <w:tcPr>
        <w:tcBorders>
          <w:left w:val="nil"/>
          <w:right w:val="nil"/>
          <w:insideH w:val="nil"/>
          <w:insideV w:val="nil"/>
        </w:tcBorders>
        <w:shd w:val="clear" w:color="auto" w:fill="FAE7E1" w:themeFill="accent5" w:themeFillTint="3F"/>
      </w:tcPr>
    </w:tblStylePr>
  </w:style>
  <w:style w:type="table" w:styleId="LightShading-Accent6">
    <w:name w:val="Light Shading Accent 6"/>
    <w:basedOn w:val="TableNormal"/>
    <w:uiPriority w:val="60"/>
    <w:semiHidden/>
    <w:rsid w:val="0058629F"/>
    <w:pPr>
      <w:spacing w:line="240" w:lineRule="auto"/>
    </w:pPr>
    <w:rPr>
      <w:color w:val="0B1738" w:themeColor="accent6" w:themeShade="BF"/>
    </w:rPr>
    <w:tblPr>
      <w:tblStyleRowBandSize w:val="1"/>
      <w:tblStyleColBandSize w:val="1"/>
      <w:tblBorders>
        <w:top w:val="single" w:sz="8" w:space="0" w:color="0F204B" w:themeColor="accent6"/>
        <w:bottom w:val="single" w:sz="8" w:space="0" w:color="0F204B" w:themeColor="accent6"/>
      </w:tblBorders>
    </w:tblPr>
    <w:tblStylePr w:type="firstRow">
      <w:pPr>
        <w:spacing w:before="0" w:after="0" w:line="240" w:lineRule="auto"/>
      </w:pPr>
      <w:rPr>
        <w:b/>
        <w:bCs/>
      </w:rPr>
      <w:tblPr/>
      <w:tcPr>
        <w:tcBorders>
          <w:top w:val="single" w:sz="8" w:space="0" w:color="0F204B" w:themeColor="accent6"/>
          <w:left w:val="nil"/>
          <w:bottom w:val="single" w:sz="8" w:space="0" w:color="0F204B" w:themeColor="accent6"/>
          <w:right w:val="nil"/>
          <w:insideH w:val="nil"/>
          <w:insideV w:val="nil"/>
        </w:tcBorders>
      </w:tcPr>
    </w:tblStylePr>
    <w:tblStylePr w:type="lastRow">
      <w:pPr>
        <w:spacing w:before="0" w:after="0" w:line="240" w:lineRule="auto"/>
      </w:pPr>
      <w:rPr>
        <w:b/>
        <w:bCs/>
      </w:rPr>
      <w:tblPr/>
      <w:tcPr>
        <w:tcBorders>
          <w:top w:val="single" w:sz="8" w:space="0" w:color="0F204B" w:themeColor="accent6"/>
          <w:left w:val="nil"/>
          <w:bottom w:val="single" w:sz="8" w:space="0" w:color="0F204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BBED" w:themeFill="accent6" w:themeFillTint="3F"/>
      </w:tcPr>
    </w:tblStylePr>
    <w:tblStylePr w:type="band1Horz">
      <w:tblPr/>
      <w:tcPr>
        <w:tcBorders>
          <w:left w:val="nil"/>
          <w:right w:val="nil"/>
          <w:insideH w:val="nil"/>
          <w:insideV w:val="nil"/>
        </w:tcBorders>
        <w:shd w:val="clear" w:color="auto" w:fill="A8BBED" w:themeFill="accent6" w:themeFillTint="3F"/>
      </w:tcPr>
    </w:tblStylePr>
  </w:style>
  <w:style w:type="table" w:styleId="ListTable1Light">
    <w:name w:val="List Table 1 Light"/>
    <w:basedOn w:val="TableNormal"/>
    <w:uiPriority w:val="46"/>
    <w:rsid w:val="0058629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8629F"/>
    <w:pPr>
      <w:spacing w:line="240" w:lineRule="auto"/>
    </w:pPr>
    <w:tblPr>
      <w:tblStyleRowBandSize w:val="1"/>
      <w:tblStyleColBandSize w:val="1"/>
    </w:tblPr>
    <w:tblStylePr w:type="firstRow">
      <w:rPr>
        <w:b/>
        <w:bCs/>
      </w:rPr>
      <w:tblPr/>
      <w:tcPr>
        <w:tcBorders>
          <w:bottom w:val="single" w:sz="4" w:space="0" w:color="8AB1E9" w:themeColor="accent1" w:themeTint="99"/>
        </w:tcBorders>
      </w:tcPr>
    </w:tblStylePr>
    <w:tblStylePr w:type="lastRow">
      <w:rPr>
        <w:b/>
        <w:bCs/>
      </w:rPr>
      <w:tblPr/>
      <w:tcPr>
        <w:tcBorders>
          <w:top w:val="single" w:sz="4" w:space="0" w:color="8AB1E9" w:themeColor="accent1" w:themeTint="99"/>
        </w:tcBorders>
      </w:tcPr>
    </w:tblStylePr>
    <w:tblStylePr w:type="firstCol">
      <w:rPr>
        <w:b/>
        <w:bCs/>
      </w:rPr>
    </w:tblStylePr>
    <w:tblStylePr w:type="lastCol">
      <w:rPr>
        <w:b/>
        <w:bCs/>
      </w:rPr>
    </w:tblStylePr>
    <w:tblStylePr w:type="band1Vert">
      <w:tblPr/>
      <w:tcPr>
        <w:shd w:val="clear" w:color="auto" w:fill="D8E5F7" w:themeFill="accent1" w:themeFillTint="33"/>
      </w:tcPr>
    </w:tblStylePr>
    <w:tblStylePr w:type="band1Horz">
      <w:tblPr/>
      <w:tcPr>
        <w:shd w:val="clear" w:color="auto" w:fill="D8E5F7" w:themeFill="accent1" w:themeFillTint="33"/>
      </w:tcPr>
    </w:tblStylePr>
  </w:style>
  <w:style w:type="table" w:styleId="ListTable1Light-Accent2">
    <w:name w:val="List Table 1 Light Accent 2"/>
    <w:basedOn w:val="TableNormal"/>
    <w:uiPriority w:val="46"/>
    <w:rsid w:val="0058629F"/>
    <w:pPr>
      <w:spacing w:line="240" w:lineRule="auto"/>
    </w:pPr>
    <w:tblPr>
      <w:tblStyleRowBandSize w:val="1"/>
      <w:tblStyleColBandSize w:val="1"/>
    </w:tblPr>
    <w:tblStylePr w:type="firstRow">
      <w:rPr>
        <w:b/>
        <w:bCs/>
      </w:rPr>
      <w:tblPr/>
      <w:tcPr>
        <w:tcBorders>
          <w:bottom w:val="single" w:sz="4" w:space="0" w:color="ABE3F2" w:themeColor="accent2" w:themeTint="99"/>
        </w:tcBorders>
      </w:tcPr>
    </w:tblStylePr>
    <w:tblStylePr w:type="lastRow">
      <w:rPr>
        <w:b/>
        <w:bCs/>
      </w:rPr>
      <w:tblPr/>
      <w:tcPr>
        <w:tcBorders>
          <w:top w:val="single" w:sz="4" w:space="0" w:color="ABE3F2" w:themeColor="accent2" w:themeTint="99"/>
        </w:tcBorders>
      </w:tcPr>
    </w:tblStylePr>
    <w:tblStylePr w:type="firstCol">
      <w:rPr>
        <w:b/>
        <w:bCs/>
      </w:rPr>
    </w:tblStylePr>
    <w:tblStylePr w:type="lastCol">
      <w:rPr>
        <w:b/>
        <w:bCs/>
      </w:rPr>
    </w:tblStylePr>
    <w:tblStylePr w:type="band1Vert">
      <w:tblPr/>
      <w:tcPr>
        <w:shd w:val="clear" w:color="auto" w:fill="E3F5FA" w:themeFill="accent2" w:themeFillTint="33"/>
      </w:tcPr>
    </w:tblStylePr>
    <w:tblStylePr w:type="band1Horz">
      <w:tblPr/>
      <w:tcPr>
        <w:shd w:val="clear" w:color="auto" w:fill="E3F5FA" w:themeFill="accent2" w:themeFillTint="33"/>
      </w:tcPr>
    </w:tblStylePr>
  </w:style>
  <w:style w:type="table" w:styleId="ListTable1Light-Accent3">
    <w:name w:val="List Table 1 Light Accent 3"/>
    <w:basedOn w:val="TableNormal"/>
    <w:uiPriority w:val="46"/>
    <w:rsid w:val="0058629F"/>
    <w:pPr>
      <w:spacing w:line="240" w:lineRule="auto"/>
    </w:pPr>
    <w:tblPr>
      <w:tblStyleRowBandSize w:val="1"/>
      <w:tblStyleColBandSize w:val="1"/>
    </w:tblPr>
    <w:tblStylePr w:type="firstRow">
      <w:rPr>
        <w:b/>
        <w:bCs/>
      </w:rPr>
      <w:tblPr/>
      <w:tcPr>
        <w:tcBorders>
          <w:bottom w:val="single" w:sz="4" w:space="0" w:color="B2E5DC" w:themeColor="accent3" w:themeTint="99"/>
        </w:tcBorders>
      </w:tcPr>
    </w:tblStylePr>
    <w:tblStylePr w:type="lastRow">
      <w:rPr>
        <w:b/>
        <w:bCs/>
      </w:rPr>
      <w:tblPr/>
      <w:tcPr>
        <w:tcBorders>
          <w:top w:val="single" w:sz="4" w:space="0" w:color="B2E5DC" w:themeColor="accent3" w:themeTint="99"/>
        </w:tcBorders>
      </w:tcPr>
    </w:tblStylePr>
    <w:tblStylePr w:type="firstCol">
      <w:rPr>
        <w:b/>
        <w:bCs/>
      </w:rPr>
    </w:tblStylePr>
    <w:tblStylePr w:type="lastCol">
      <w:rPr>
        <w:b/>
        <w:bCs/>
      </w:rPr>
    </w:tblStylePr>
    <w:tblStylePr w:type="band1Vert">
      <w:tblPr/>
      <w:tcPr>
        <w:shd w:val="clear" w:color="auto" w:fill="E5F6F3" w:themeFill="accent3" w:themeFillTint="33"/>
      </w:tcPr>
    </w:tblStylePr>
    <w:tblStylePr w:type="band1Horz">
      <w:tblPr/>
      <w:tcPr>
        <w:shd w:val="clear" w:color="auto" w:fill="E5F6F3" w:themeFill="accent3" w:themeFillTint="33"/>
      </w:tcPr>
    </w:tblStylePr>
  </w:style>
  <w:style w:type="table" w:styleId="ListTable1Light-Accent4">
    <w:name w:val="List Table 1 Light Accent 4"/>
    <w:basedOn w:val="TableNormal"/>
    <w:uiPriority w:val="46"/>
    <w:rsid w:val="0058629F"/>
    <w:pPr>
      <w:spacing w:line="240" w:lineRule="auto"/>
    </w:pPr>
    <w:tblPr>
      <w:tblStyleRowBandSize w:val="1"/>
      <w:tblStyleColBandSize w:val="1"/>
    </w:tblPr>
    <w:tblStylePr w:type="firstRow">
      <w:rPr>
        <w:b/>
        <w:bCs/>
      </w:rPr>
      <w:tblPr/>
      <w:tcPr>
        <w:tcBorders>
          <w:bottom w:val="single" w:sz="4" w:space="0" w:color="FCE5AC" w:themeColor="accent4" w:themeTint="99"/>
        </w:tcBorders>
      </w:tcPr>
    </w:tblStylePr>
    <w:tblStylePr w:type="lastRow">
      <w:rPr>
        <w:b/>
        <w:bCs/>
      </w:rPr>
      <w:tblPr/>
      <w:tcPr>
        <w:tcBorders>
          <w:top w:val="single" w:sz="4" w:space="0" w:color="FCE5AC" w:themeColor="accent4" w:themeTint="99"/>
        </w:tcBorders>
      </w:tcPr>
    </w:tblStylePr>
    <w:tblStylePr w:type="firstCol">
      <w:rPr>
        <w:b/>
        <w:bCs/>
      </w:rPr>
    </w:tblStylePr>
    <w:tblStylePr w:type="lastCol">
      <w:rPr>
        <w:b/>
        <w:bCs/>
      </w:rPr>
    </w:tblStylePr>
    <w:tblStylePr w:type="band1Vert">
      <w:tblPr/>
      <w:tcPr>
        <w:shd w:val="clear" w:color="auto" w:fill="FEF6E3" w:themeFill="accent4" w:themeFillTint="33"/>
      </w:tcPr>
    </w:tblStylePr>
    <w:tblStylePr w:type="band1Horz">
      <w:tblPr/>
      <w:tcPr>
        <w:shd w:val="clear" w:color="auto" w:fill="FEF6E3" w:themeFill="accent4" w:themeFillTint="33"/>
      </w:tcPr>
    </w:tblStylePr>
  </w:style>
  <w:style w:type="table" w:styleId="ListTable1Light-Accent5">
    <w:name w:val="List Table 1 Light Accent 5"/>
    <w:basedOn w:val="TableNormal"/>
    <w:uiPriority w:val="46"/>
    <w:rsid w:val="0058629F"/>
    <w:pPr>
      <w:spacing w:line="240" w:lineRule="auto"/>
    </w:pPr>
    <w:tblPr>
      <w:tblStyleRowBandSize w:val="1"/>
      <w:tblStyleColBandSize w:val="1"/>
    </w:tblPr>
    <w:tblStylePr w:type="firstRow">
      <w:rPr>
        <w:b/>
        <w:bCs/>
      </w:rPr>
      <w:tblPr/>
      <w:tcPr>
        <w:tcBorders>
          <w:bottom w:val="single" w:sz="4" w:space="0" w:color="F3C5B8" w:themeColor="accent5" w:themeTint="99"/>
        </w:tcBorders>
      </w:tcPr>
    </w:tblStylePr>
    <w:tblStylePr w:type="lastRow">
      <w:rPr>
        <w:b/>
        <w:bCs/>
      </w:rPr>
      <w:tblPr/>
      <w:tcPr>
        <w:tcBorders>
          <w:top w:val="single" w:sz="4" w:space="0" w:color="F3C5B8" w:themeColor="accent5" w:themeTint="99"/>
        </w:tcBorders>
      </w:tcPr>
    </w:tblStylePr>
    <w:tblStylePr w:type="firstCol">
      <w:rPr>
        <w:b/>
        <w:bCs/>
      </w:rPr>
    </w:tblStylePr>
    <w:tblStylePr w:type="lastCol">
      <w:rPr>
        <w:b/>
        <w:bCs/>
      </w:rPr>
    </w:tblStylePr>
    <w:tblStylePr w:type="band1Vert">
      <w:tblPr/>
      <w:tcPr>
        <w:shd w:val="clear" w:color="auto" w:fill="FBEBE7" w:themeFill="accent5" w:themeFillTint="33"/>
      </w:tcPr>
    </w:tblStylePr>
    <w:tblStylePr w:type="band1Horz">
      <w:tblPr/>
      <w:tcPr>
        <w:shd w:val="clear" w:color="auto" w:fill="FBEBE7" w:themeFill="accent5" w:themeFillTint="33"/>
      </w:tcPr>
    </w:tblStylePr>
  </w:style>
  <w:style w:type="table" w:styleId="ListTable1Light-Accent6">
    <w:name w:val="List Table 1 Light Accent 6"/>
    <w:basedOn w:val="TableNormal"/>
    <w:uiPriority w:val="46"/>
    <w:rsid w:val="0058629F"/>
    <w:pPr>
      <w:spacing w:line="240" w:lineRule="auto"/>
    </w:pPr>
    <w:tblPr>
      <w:tblStyleRowBandSize w:val="1"/>
      <w:tblStyleColBandSize w:val="1"/>
    </w:tblPr>
    <w:tblStylePr w:type="firstRow">
      <w:rPr>
        <w:b/>
        <w:bCs/>
      </w:rPr>
      <w:tblPr/>
      <w:tcPr>
        <w:tcBorders>
          <w:bottom w:val="single" w:sz="4" w:space="0" w:color="2D5CD5" w:themeColor="accent6" w:themeTint="99"/>
        </w:tcBorders>
      </w:tcPr>
    </w:tblStylePr>
    <w:tblStylePr w:type="lastRow">
      <w:rPr>
        <w:b/>
        <w:bCs/>
      </w:rPr>
      <w:tblPr/>
      <w:tcPr>
        <w:tcBorders>
          <w:top w:val="single" w:sz="4" w:space="0" w:color="2D5CD5" w:themeColor="accent6" w:themeTint="99"/>
        </w:tcBorders>
      </w:tcPr>
    </w:tblStylePr>
    <w:tblStylePr w:type="firstCol">
      <w:rPr>
        <w:b/>
        <w:bCs/>
      </w:rPr>
    </w:tblStylePr>
    <w:tblStylePr w:type="lastCol">
      <w:rPr>
        <w:b/>
        <w:bCs/>
      </w:rPr>
    </w:tblStylePr>
    <w:tblStylePr w:type="band1Vert">
      <w:tblPr/>
      <w:tcPr>
        <w:shd w:val="clear" w:color="auto" w:fill="B9C8F1" w:themeFill="accent6" w:themeFillTint="33"/>
      </w:tcPr>
    </w:tblStylePr>
    <w:tblStylePr w:type="band1Horz">
      <w:tblPr/>
      <w:tcPr>
        <w:shd w:val="clear" w:color="auto" w:fill="B9C8F1" w:themeFill="accent6" w:themeFillTint="33"/>
      </w:tcPr>
    </w:tblStylePr>
  </w:style>
  <w:style w:type="table" w:styleId="ListTable2">
    <w:name w:val="List Table 2"/>
    <w:basedOn w:val="TableNormal"/>
    <w:uiPriority w:val="47"/>
    <w:rsid w:val="0058629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8629F"/>
    <w:pPr>
      <w:spacing w:line="240" w:lineRule="auto"/>
    </w:pPr>
    <w:tblPr>
      <w:tblStyleRowBandSize w:val="1"/>
      <w:tblStyleColBandSize w:val="1"/>
      <w:tblBorders>
        <w:top w:val="single" w:sz="4" w:space="0" w:color="8AB1E9" w:themeColor="accent1" w:themeTint="99"/>
        <w:bottom w:val="single" w:sz="4" w:space="0" w:color="8AB1E9" w:themeColor="accent1" w:themeTint="99"/>
        <w:insideH w:val="single" w:sz="4" w:space="0" w:color="8AB1E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5F7" w:themeFill="accent1" w:themeFillTint="33"/>
      </w:tcPr>
    </w:tblStylePr>
    <w:tblStylePr w:type="band1Horz">
      <w:tblPr/>
      <w:tcPr>
        <w:shd w:val="clear" w:color="auto" w:fill="D8E5F7" w:themeFill="accent1" w:themeFillTint="33"/>
      </w:tcPr>
    </w:tblStylePr>
  </w:style>
  <w:style w:type="table" w:styleId="ListTable2-Accent2">
    <w:name w:val="List Table 2 Accent 2"/>
    <w:basedOn w:val="TableNormal"/>
    <w:uiPriority w:val="47"/>
    <w:rsid w:val="0058629F"/>
    <w:pPr>
      <w:spacing w:line="240" w:lineRule="auto"/>
    </w:pPr>
    <w:tblPr>
      <w:tblStyleRowBandSize w:val="1"/>
      <w:tblStyleColBandSize w:val="1"/>
      <w:tblBorders>
        <w:top w:val="single" w:sz="4" w:space="0" w:color="ABE3F2" w:themeColor="accent2" w:themeTint="99"/>
        <w:bottom w:val="single" w:sz="4" w:space="0" w:color="ABE3F2" w:themeColor="accent2" w:themeTint="99"/>
        <w:insideH w:val="single" w:sz="4" w:space="0" w:color="ABE3F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5FA" w:themeFill="accent2" w:themeFillTint="33"/>
      </w:tcPr>
    </w:tblStylePr>
    <w:tblStylePr w:type="band1Horz">
      <w:tblPr/>
      <w:tcPr>
        <w:shd w:val="clear" w:color="auto" w:fill="E3F5FA" w:themeFill="accent2" w:themeFillTint="33"/>
      </w:tcPr>
    </w:tblStylePr>
  </w:style>
  <w:style w:type="table" w:styleId="ListTable2-Accent3">
    <w:name w:val="List Table 2 Accent 3"/>
    <w:basedOn w:val="TableNormal"/>
    <w:uiPriority w:val="47"/>
    <w:rsid w:val="0058629F"/>
    <w:pPr>
      <w:spacing w:line="240" w:lineRule="auto"/>
    </w:pPr>
    <w:tblPr>
      <w:tblStyleRowBandSize w:val="1"/>
      <w:tblStyleColBandSize w:val="1"/>
      <w:tblBorders>
        <w:top w:val="single" w:sz="4" w:space="0" w:color="B2E5DC" w:themeColor="accent3" w:themeTint="99"/>
        <w:bottom w:val="single" w:sz="4" w:space="0" w:color="B2E5DC" w:themeColor="accent3" w:themeTint="99"/>
        <w:insideH w:val="single" w:sz="4" w:space="0" w:color="B2E5D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6F3" w:themeFill="accent3" w:themeFillTint="33"/>
      </w:tcPr>
    </w:tblStylePr>
    <w:tblStylePr w:type="band1Horz">
      <w:tblPr/>
      <w:tcPr>
        <w:shd w:val="clear" w:color="auto" w:fill="E5F6F3" w:themeFill="accent3" w:themeFillTint="33"/>
      </w:tcPr>
    </w:tblStylePr>
  </w:style>
  <w:style w:type="table" w:styleId="ListTable2-Accent4">
    <w:name w:val="List Table 2 Accent 4"/>
    <w:basedOn w:val="TableNormal"/>
    <w:uiPriority w:val="47"/>
    <w:rsid w:val="0058629F"/>
    <w:pPr>
      <w:spacing w:line="240" w:lineRule="auto"/>
    </w:pPr>
    <w:tblPr>
      <w:tblStyleRowBandSize w:val="1"/>
      <w:tblStyleColBandSize w:val="1"/>
      <w:tblBorders>
        <w:top w:val="single" w:sz="4" w:space="0" w:color="FCE5AC" w:themeColor="accent4" w:themeTint="99"/>
        <w:bottom w:val="single" w:sz="4" w:space="0" w:color="FCE5AC" w:themeColor="accent4" w:themeTint="99"/>
        <w:insideH w:val="single" w:sz="4" w:space="0" w:color="FCE5A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6E3" w:themeFill="accent4" w:themeFillTint="33"/>
      </w:tcPr>
    </w:tblStylePr>
    <w:tblStylePr w:type="band1Horz">
      <w:tblPr/>
      <w:tcPr>
        <w:shd w:val="clear" w:color="auto" w:fill="FEF6E3" w:themeFill="accent4" w:themeFillTint="33"/>
      </w:tcPr>
    </w:tblStylePr>
  </w:style>
  <w:style w:type="table" w:styleId="ListTable2-Accent5">
    <w:name w:val="List Table 2 Accent 5"/>
    <w:basedOn w:val="TableNormal"/>
    <w:uiPriority w:val="47"/>
    <w:rsid w:val="0058629F"/>
    <w:pPr>
      <w:spacing w:line="240" w:lineRule="auto"/>
    </w:pPr>
    <w:tblPr>
      <w:tblStyleRowBandSize w:val="1"/>
      <w:tblStyleColBandSize w:val="1"/>
      <w:tblBorders>
        <w:top w:val="single" w:sz="4" w:space="0" w:color="F3C5B8" w:themeColor="accent5" w:themeTint="99"/>
        <w:bottom w:val="single" w:sz="4" w:space="0" w:color="F3C5B8" w:themeColor="accent5" w:themeTint="99"/>
        <w:insideH w:val="single" w:sz="4" w:space="0" w:color="F3C5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BE7" w:themeFill="accent5" w:themeFillTint="33"/>
      </w:tcPr>
    </w:tblStylePr>
    <w:tblStylePr w:type="band1Horz">
      <w:tblPr/>
      <w:tcPr>
        <w:shd w:val="clear" w:color="auto" w:fill="FBEBE7" w:themeFill="accent5" w:themeFillTint="33"/>
      </w:tcPr>
    </w:tblStylePr>
  </w:style>
  <w:style w:type="table" w:styleId="ListTable2-Accent6">
    <w:name w:val="List Table 2 Accent 6"/>
    <w:basedOn w:val="TableNormal"/>
    <w:uiPriority w:val="47"/>
    <w:rsid w:val="0058629F"/>
    <w:pPr>
      <w:spacing w:line="240" w:lineRule="auto"/>
    </w:pPr>
    <w:tblPr>
      <w:tblStyleRowBandSize w:val="1"/>
      <w:tblStyleColBandSize w:val="1"/>
      <w:tblBorders>
        <w:top w:val="single" w:sz="4" w:space="0" w:color="2D5CD5" w:themeColor="accent6" w:themeTint="99"/>
        <w:bottom w:val="single" w:sz="4" w:space="0" w:color="2D5CD5" w:themeColor="accent6" w:themeTint="99"/>
        <w:insideH w:val="single" w:sz="4" w:space="0" w:color="2D5CD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C8F1" w:themeFill="accent6" w:themeFillTint="33"/>
      </w:tcPr>
    </w:tblStylePr>
    <w:tblStylePr w:type="band1Horz">
      <w:tblPr/>
      <w:tcPr>
        <w:shd w:val="clear" w:color="auto" w:fill="B9C8F1" w:themeFill="accent6" w:themeFillTint="33"/>
      </w:tcPr>
    </w:tblStylePr>
  </w:style>
  <w:style w:type="table" w:styleId="ListTable3">
    <w:name w:val="List Table 3"/>
    <w:basedOn w:val="TableNormal"/>
    <w:uiPriority w:val="48"/>
    <w:rsid w:val="0058629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8629F"/>
    <w:pPr>
      <w:spacing w:line="240" w:lineRule="auto"/>
    </w:pPr>
    <w:tblPr>
      <w:tblStyleRowBandSize w:val="1"/>
      <w:tblStyleColBandSize w:val="1"/>
      <w:tblBorders>
        <w:top w:val="single" w:sz="4" w:space="0" w:color="3D7EDB" w:themeColor="accent1"/>
        <w:left w:val="single" w:sz="4" w:space="0" w:color="3D7EDB" w:themeColor="accent1"/>
        <w:bottom w:val="single" w:sz="4" w:space="0" w:color="3D7EDB" w:themeColor="accent1"/>
        <w:right w:val="single" w:sz="4" w:space="0" w:color="3D7EDB" w:themeColor="accent1"/>
      </w:tblBorders>
    </w:tblPr>
    <w:tblStylePr w:type="firstRow">
      <w:rPr>
        <w:b/>
        <w:bCs/>
        <w:color w:val="FFFFFF" w:themeColor="background1"/>
      </w:rPr>
      <w:tblPr/>
      <w:tcPr>
        <w:shd w:val="clear" w:color="auto" w:fill="3D7EDB" w:themeFill="accent1"/>
      </w:tcPr>
    </w:tblStylePr>
    <w:tblStylePr w:type="lastRow">
      <w:rPr>
        <w:b/>
        <w:bCs/>
      </w:rPr>
      <w:tblPr/>
      <w:tcPr>
        <w:tcBorders>
          <w:top w:val="double" w:sz="4" w:space="0" w:color="3D7ED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7EDB" w:themeColor="accent1"/>
          <w:right w:val="single" w:sz="4" w:space="0" w:color="3D7EDB" w:themeColor="accent1"/>
        </w:tcBorders>
      </w:tcPr>
    </w:tblStylePr>
    <w:tblStylePr w:type="band1Horz">
      <w:tblPr/>
      <w:tcPr>
        <w:tcBorders>
          <w:top w:val="single" w:sz="4" w:space="0" w:color="3D7EDB" w:themeColor="accent1"/>
          <w:bottom w:val="single" w:sz="4" w:space="0" w:color="3D7ED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7EDB" w:themeColor="accent1"/>
          <w:left w:val="nil"/>
        </w:tcBorders>
      </w:tcPr>
    </w:tblStylePr>
    <w:tblStylePr w:type="swCell">
      <w:tblPr/>
      <w:tcPr>
        <w:tcBorders>
          <w:top w:val="double" w:sz="4" w:space="0" w:color="3D7EDB" w:themeColor="accent1"/>
          <w:right w:val="nil"/>
        </w:tcBorders>
      </w:tcPr>
    </w:tblStylePr>
  </w:style>
  <w:style w:type="table" w:styleId="ListTable3-Accent2">
    <w:name w:val="List Table 3 Accent 2"/>
    <w:basedOn w:val="TableNormal"/>
    <w:uiPriority w:val="48"/>
    <w:rsid w:val="0058629F"/>
    <w:pPr>
      <w:spacing w:line="240" w:lineRule="auto"/>
    </w:pPr>
    <w:tblPr>
      <w:tblStyleRowBandSize w:val="1"/>
      <w:tblStyleColBandSize w:val="1"/>
      <w:tblBorders>
        <w:top w:val="single" w:sz="4" w:space="0" w:color="74D1EA" w:themeColor="accent2"/>
        <w:left w:val="single" w:sz="4" w:space="0" w:color="74D1EA" w:themeColor="accent2"/>
        <w:bottom w:val="single" w:sz="4" w:space="0" w:color="74D1EA" w:themeColor="accent2"/>
        <w:right w:val="single" w:sz="4" w:space="0" w:color="74D1EA" w:themeColor="accent2"/>
      </w:tblBorders>
    </w:tblPr>
    <w:tblStylePr w:type="firstRow">
      <w:rPr>
        <w:b/>
        <w:bCs/>
        <w:color w:val="FFFFFF" w:themeColor="background1"/>
      </w:rPr>
      <w:tblPr/>
      <w:tcPr>
        <w:shd w:val="clear" w:color="auto" w:fill="74D1EA" w:themeFill="accent2"/>
      </w:tcPr>
    </w:tblStylePr>
    <w:tblStylePr w:type="lastRow">
      <w:rPr>
        <w:b/>
        <w:bCs/>
      </w:rPr>
      <w:tblPr/>
      <w:tcPr>
        <w:tcBorders>
          <w:top w:val="double" w:sz="4" w:space="0" w:color="74D1E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D1EA" w:themeColor="accent2"/>
          <w:right w:val="single" w:sz="4" w:space="0" w:color="74D1EA" w:themeColor="accent2"/>
        </w:tcBorders>
      </w:tcPr>
    </w:tblStylePr>
    <w:tblStylePr w:type="band1Horz">
      <w:tblPr/>
      <w:tcPr>
        <w:tcBorders>
          <w:top w:val="single" w:sz="4" w:space="0" w:color="74D1EA" w:themeColor="accent2"/>
          <w:bottom w:val="single" w:sz="4" w:space="0" w:color="74D1E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D1EA" w:themeColor="accent2"/>
          <w:left w:val="nil"/>
        </w:tcBorders>
      </w:tcPr>
    </w:tblStylePr>
    <w:tblStylePr w:type="swCell">
      <w:tblPr/>
      <w:tcPr>
        <w:tcBorders>
          <w:top w:val="double" w:sz="4" w:space="0" w:color="74D1EA" w:themeColor="accent2"/>
          <w:right w:val="nil"/>
        </w:tcBorders>
      </w:tcPr>
    </w:tblStylePr>
  </w:style>
  <w:style w:type="table" w:styleId="ListTable3-Accent3">
    <w:name w:val="List Table 3 Accent 3"/>
    <w:basedOn w:val="TableNormal"/>
    <w:uiPriority w:val="48"/>
    <w:rsid w:val="0058629F"/>
    <w:pPr>
      <w:spacing w:line="240" w:lineRule="auto"/>
    </w:pPr>
    <w:tblPr>
      <w:tblStyleRowBandSize w:val="1"/>
      <w:tblStyleColBandSize w:val="1"/>
      <w:tblBorders>
        <w:top w:val="single" w:sz="4" w:space="0" w:color="7FD5C5" w:themeColor="accent3"/>
        <w:left w:val="single" w:sz="4" w:space="0" w:color="7FD5C5" w:themeColor="accent3"/>
        <w:bottom w:val="single" w:sz="4" w:space="0" w:color="7FD5C5" w:themeColor="accent3"/>
        <w:right w:val="single" w:sz="4" w:space="0" w:color="7FD5C5" w:themeColor="accent3"/>
      </w:tblBorders>
    </w:tblPr>
    <w:tblStylePr w:type="firstRow">
      <w:rPr>
        <w:b/>
        <w:bCs/>
        <w:color w:val="FFFFFF" w:themeColor="background1"/>
      </w:rPr>
      <w:tblPr/>
      <w:tcPr>
        <w:shd w:val="clear" w:color="auto" w:fill="7FD5C5" w:themeFill="accent3"/>
      </w:tcPr>
    </w:tblStylePr>
    <w:tblStylePr w:type="lastRow">
      <w:rPr>
        <w:b/>
        <w:bCs/>
      </w:rPr>
      <w:tblPr/>
      <w:tcPr>
        <w:tcBorders>
          <w:top w:val="double" w:sz="4" w:space="0" w:color="7FD5C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D5C5" w:themeColor="accent3"/>
          <w:right w:val="single" w:sz="4" w:space="0" w:color="7FD5C5" w:themeColor="accent3"/>
        </w:tcBorders>
      </w:tcPr>
    </w:tblStylePr>
    <w:tblStylePr w:type="band1Horz">
      <w:tblPr/>
      <w:tcPr>
        <w:tcBorders>
          <w:top w:val="single" w:sz="4" w:space="0" w:color="7FD5C5" w:themeColor="accent3"/>
          <w:bottom w:val="single" w:sz="4" w:space="0" w:color="7FD5C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D5C5" w:themeColor="accent3"/>
          <w:left w:val="nil"/>
        </w:tcBorders>
      </w:tcPr>
    </w:tblStylePr>
    <w:tblStylePr w:type="swCell">
      <w:tblPr/>
      <w:tcPr>
        <w:tcBorders>
          <w:top w:val="double" w:sz="4" w:space="0" w:color="7FD5C5" w:themeColor="accent3"/>
          <w:right w:val="nil"/>
        </w:tcBorders>
      </w:tcPr>
    </w:tblStylePr>
  </w:style>
  <w:style w:type="table" w:styleId="ListTable3-Accent4">
    <w:name w:val="List Table 3 Accent 4"/>
    <w:basedOn w:val="TableNormal"/>
    <w:uiPriority w:val="48"/>
    <w:rsid w:val="0058629F"/>
    <w:pPr>
      <w:spacing w:line="240" w:lineRule="auto"/>
    </w:pPr>
    <w:tblPr>
      <w:tblStyleRowBandSize w:val="1"/>
      <w:tblStyleColBandSize w:val="1"/>
      <w:tblBorders>
        <w:top w:val="single" w:sz="4" w:space="0" w:color="FBD476" w:themeColor="accent4"/>
        <w:left w:val="single" w:sz="4" w:space="0" w:color="FBD476" w:themeColor="accent4"/>
        <w:bottom w:val="single" w:sz="4" w:space="0" w:color="FBD476" w:themeColor="accent4"/>
        <w:right w:val="single" w:sz="4" w:space="0" w:color="FBD476" w:themeColor="accent4"/>
      </w:tblBorders>
    </w:tblPr>
    <w:tblStylePr w:type="firstRow">
      <w:rPr>
        <w:b/>
        <w:bCs/>
        <w:color w:val="FFFFFF" w:themeColor="background1"/>
      </w:rPr>
      <w:tblPr/>
      <w:tcPr>
        <w:shd w:val="clear" w:color="auto" w:fill="FBD476" w:themeFill="accent4"/>
      </w:tcPr>
    </w:tblStylePr>
    <w:tblStylePr w:type="lastRow">
      <w:rPr>
        <w:b/>
        <w:bCs/>
      </w:rPr>
      <w:tblPr/>
      <w:tcPr>
        <w:tcBorders>
          <w:top w:val="double" w:sz="4" w:space="0" w:color="FBD4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D476" w:themeColor="accent4"/>
          <w:right w:val="single" w:sz="4" w:space="0" w:color="FBD476" w:themeColor="accent4"/>
        </w:tcBorders>
      </w:tcPr>
    </w:tblStylePr>
    <w:tblStylePr w:type="band1Horz">
      <w:tblPr/>
      <w:tcPr>
        <w:tcBorders>
          <w:top w:val="single" w:sz="4" w:space="0" w:color="FBD476" w:themeColor="accent4"/>
          <w:bottom w:val="single" w:sz="4" w:space="0" w:color="FBD4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D476" w:themeColor="accent4"/>
          <w:left w:val="nil"/>
        </w:tcBorders>
      </w:tcPr>
    </w:tblStylePr>
    <w:tblStylePr w:type="swCell">
      <w:tblPr/>
      <w:tcPr>
        <w:tcBorders>
          <w:top w:val="double" w:sz="4" w:space="0" w:color="FBD476" w:themeColor="accent4"/>
          <w:right w:val="nil"/>
        </w:tcBorders>
      </w:tcPr>
    </w:tblStylePr>
  </w:style>
  <w:style w:type="table" w:styleId="ListTable3-Accent5">
    <w:name w:val="List Table 3 Accent 5"/>
    <w:basedOn w:val="TableNormal"/>
    <w:uiPriority w:val="48"/>
    <w:rsid w:val="0058629F"/>
    <w:pPr>
      <w:spacing w:line="240" w:lineRule="auto"/>
    </w:pPr>
    <w:tblPr>
      <w:tblStyleRowBandSize w:val="1"/>
      <w:tblStyleColBandSize w:val="1"/>
      <w:tblBorders>
        <w:top w:val="single" w:sz="4" w:space="0" w:color="EBA089" w:themeColor="accent5"/>
        <w:left w:val="single" w:sz="4" w:space="0" w:color="EBA089" w:themeColor="accent5"/>
        <w:bottom w:val="single" w:sz="4" w:space="0" w:color="EBA089" w:themeColor="accent5"/>
        <w:right w:val="single" w:sz="4" w:space="0" w:color="EBA089" w:themeColor="accent5"/>
      </w:tblBorders>
    </w:tblPr>
    <w:tblStylePr w:type="firstRow">
      <w:rPr>
        <w:b/>
        <w:bCs/>
        <w:color w:val="FFFFFF" w:themeColor="background1"/>
      </w:rPr>
      <w:tblPr/>
      <w:tcPr>
        <w:shd w:val="clear" w:color="auto" w:fill="EBA089" w:themeFill="accent5"/>
      </w:tcPr>
    </w:tblStylePr>
    <w:tblStylePr w:type="lastRow">
      <w:rPr>
        <w:b/>
        <w:bCs/>
      </w:rPr>
      <w:tblPr/>
      <w:tcPr>
        <w:tcBorders>
          <w:top w:val="double" w:sz="4" w:space="0" w:color="EBA08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A089" w:themeColor="accent5"/>
          <w:right w:val="single" w:sz="4" w:space="0" w:color="EBA089" w:themeColor="accent5"/>
        </w:tcBorders>
      </w:tcPr>
    </w:tblStylePr>
    <w:tblStylePr w:type="band1Horz">
      <w:tblPr/>
      <w:tcPr>
        <w:tcBorders>
          <w:top w:val="single" w:sz="4" w:space="0" w:color="EBA089" w:themeColor="accent5"/>
          <w:bottom w:val="single" w:sz="4" w:space="0" w:color="EBA08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A089" w:themeColor="accent5"/>
          <w:left w:val="nil"/>
        </w:tcBorders>
      </w:tcPr>
    </w:tblStylePr>
    <w:tblStylePr w:type="swCell">
      <w:tblPr/>
      <w:tcPr>
        <w:tcBorders>
          <w:top w:val="double" w:sz="4" w:space="0" w:color="EBA089" w:themeColor="accent5"/>
          <w:right w:val="nil"/>
        </w:tcBorders>
      </w:tcPr>
    </w:tblStylePr>
  </w:style>
  <w:style w:type="table" w:styleId="ListTable3-Accent6">
    <w:name w:val="List Table 3 Accent 6"/>
    <w:basedOn w:val="TableNormal"/>
    <w:uiPriority w:val="48"/>
    <w:rsid w:val="0058629F"/>
    <w:pPr>
      <w:spacing w:line="240" w:lineRule="auto"/>
    </w:pPr>
    <w:tblPr>
      <w:tblStyleRowBandSize w:val="1"/>
      <w:tblStyleColBandSize w:val="1"/>
      <w:tblBorders>
        <w:top w:val="single" w:sz="4" w:space="0" w:color="0F204B" w:themeColor="accent6"/>
        <w:left w:val="single" w:sz="4" w:space="0" w:color="0F204B" w:themeColor="accent6"/>
        <w:bottom w:val="single" w:sz="4" w:space="0" w:color="0F204B" w:themeColor="accent6"/>
        <w:right w:val="single" w:sz="4" w:space="0" w:color="0F204B" w:themeColor="accent6"/>
      </w:tblBorders>
    </w:tblPr>
    <w:tblStylePr w:type="firstRow">
      <w:rPr>
        <w:b/>
        <w:bCs/>
        <w:color w:val="FFFFFF" w:themeColor="background1"/>
      </w:rPr>
      <w:tblPr/>
      <w:tcPr>
        <w:shd w:val="clear" w:color="auto" w:fill="0F204B" w:themeFill="accent6"/>
      </w:tcPr>
    </w:tblStylePr>
    <w:tblStylePr w:type="lastRow">
      <w:rPr>
        <w:b/>
        <w:bCs/>
      </w:rPr>
      <w:tblPr/>
      <w:tcPr>
        <w:tcBorders>
          <w:top w:val="double" w:sz="4" w:space="0" w:color="0F204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204B" w:themeColor="accent6"/>
          <w:right w:val="single" w:sz="4" w:space="0" w:color="0F204B" w:themeColor="accent6"/>
        </w:tcBorders>
      </w:tcPr>
    </w:tblStylePr>
    <w:tblStylePr w:type="band1Horz">
      <w:tblPr/>
      <w:tcPr>
        <w:tcBorders>
          <w:top w:val="single" w:sz="4" w:space="0" w:color="0F204B" w:themeColor="accent6"/>
          <w:bottom w:val="single" w:sz="4" w:space="0" w:color="0F204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204B" w:themeColor="accent6"/>
          <w:left w:val="nil"/>
        </w:tcBorders>
      </w:tcPr>
    </w:tblStylePr>
    <w:tblStylePr w:type="swCell">
      <w:tblPr/>
      <w:tcPr>
        <w:tcBorders>
          <w:top w:val="double" w:sz="4" w:space="0" w:color="0F204B" w:themeColor="accent6"/>
          <w:right w:val="nil"/>
        </w:tcBorders>
      </w:tcPr>
    </w:tblStylePr>
  </w:style>
  <w:style w:type="table" w:styleId="ListTable4">
    <w:name w:val="List Table 4"/>
    <w:basedOn w:val="TableNormal"/>
    <w:uiPriority w:val="49"/>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8629F"/>
    <w:pPr>
      <w:spacing w:line="240" w:lineRule="auto"/>
    </w:pPr>
    <w:tblPr>
      <w:tblStyleRowBandSize w:val="1"/>
      <w:tblStyleColBandSize w:val="1"/>
      <w:tblBorders>
        <w:top w:val="single" w:sz="4" w:space="0" w:color="8AB1E9" w:themeColor="accent1" w:themeTint="99"/>
        <w:left w:val="single" w:sz="4" w:space="0" w:color="8AB1E9" w:themeColor="accent1" w:themeTint="99"/>
        <w:bottom w:val="single" w:sz="4" w:space="0" w:color="8AB1E9" w:themeColor="accent1" w:themeTint="99"/>
        <w:right w:val="single" w:sz="4" w:space="0" w:color="8AB1E9" w:themeColor="accent1" w:themeTint="99"/>
        <w:insideH w:val="single" w:sz="4" w:space="0" w:color="8AB1E9" w:themeColor="accent1" w:themeTint="99"/>
      </w:tblBorders>
    </w:tblPr>
    <w:tblStylePr w:type="firstRow">
      <w:rPr>
        <w:b/>
        <w:bCs/>
        <w:color w:val="FFFFFF" w:themeColor="background1"/>
      </w:rPr>
      <w:tblPr/>
      <w:tcPr>
        <w:tcBorders>
          <w:top w:val="single" w:sz="4" w:space="0" w:color="3D7EDB" w:themeColor="accent1"/>
          <w:left w:val="single" w:sz="4" w:space="0" w:color="3D7EDB" w:themeColor="accent1"/>
          <w:bottom w:val="single" w:sz="4" w:space="0" w:color="3D7EDB" w:themeColor="accent1"/>
          <w:right w:val="single" w:sz="4" w:space="0" w:color="3D7EDB" w:themeColor="accent1"/>
          <w:insideH w:val="nil"/>
        </w:tcBorders>
        <w:shd w:val="clear" w:color="auto" w:fill="3D7EDB" w:themeFill="accent1"/>
      </w:tcPr>
    </w:tblStylePr>
    <w:tblStylePr w:type="lastRow">
      <w:rPr>
        <w:b/>
        <w:bCs/>
      </w:rPr>
      <w:tblPr/>
      <w:tcPr>
        <w:tcBorders>
          <w:top w:val="double" w:sz="4" w:space="0" w:color="8AB1E9" w:themeColor="accent1" w:themeTint="99"/>
        </w:tcBorders>
      </w:tcPr>
    </w:tblStylePr>
    <w:tblStylePr w:type="firstCol">
      <w:rPr>
        <w:b/>
        <w:bCs/>
      </w:rPr>
    </w:tblStylePr>
    <w:tblStylePr w:type="lastCol">
      <w:rPr>
        <w:b/>
        <w:bCs/>
      </w:rPr>
    </w:tblStylePr>
    <w:tblStylePr w:type="band1Vert">
      <w:tblPr/>
      <w:tcPr>
        <w:shd w:val="clear" w:color="auto" w:fill="D8E5F7" w:themeFill="accent1" w:themeFillTint="33"/>
      </w:tcPr>
    </w:tblStylePr>
    <w:tblStylePr w:type="band1Horz">
      <w:tblPr/>
      <w:tcPr>
        <w:shd w:val="clear" w:color="auto" w:fill="D8E5F7" w:themeFill="accent1" w:themeFillTint="33"/>
      </w:tcPr>
    </w:tblStylePr>
  </w:style>
  <w:style w:type="table" w:styleId="ListTable4-Accent2">
    <w:name w:val="List Table 4 Accent 2"/>
    <w:basedOn w:val="TableNormal"/>
    <w:uiPriority w:val="49"/>
    <w:rsid w:val="0058629F"/>
    <w:pPr>
      <w:spacing w:line="240" w:lineRule="auto"/>
    </w:pPr>
    <w:tblPr>
      <w:tblStyleRowBandSize w:val="1"/>
      <w:tblStyleColBandSize w:val="1"/>
      <w:tblBorders>
        <w:top w:val="single" w:sz="4" w:space="0" w:color="ABE3F2" w:themeColor="accent2" w:themeTint="99"/>
        <w:left w:val="single" w:sz="4" w:space="0" w:color="ABE3F2" w:themeColor="accent2" w:themeTint="99"/>
        <w:bottom w:val="single" w:sz="4" w:space="0" w:color="ABE3F2" w:themeColor="accent2" w:themeTint="99"/>
        <w:right w:val="single" w:sz="4" w:space="0" w:color="ABE3F2" w:themeColor="accent2" w:themeTint="99"/>
        <w:insideH w:val="single" w:sz="4" w:space="0" w:color="ABE3F2" w:themeColor="accent2" w:themeTint="99"/>
      </w:tblBorders>
    </w:tblPr>
    <w:tblStylePr w:type="firstRow">
      <w:rPr>
        <w:b/>
        <w:bCs/>
        <w:color w:val="FFFFFF" w:themeColor="background1"/>
      </w:rPr>
      <w:tblPr/>
      <w:tcPr>
        <w:tcBorders>
          <w:top w:val="single" w:sz="4" w:space="0" w:color="74D1EA" w:themeColor="accent2"/>
          <w:left w:val="single" w:sz="4" w:space="0" w:color="74D1EA" w:themeColor="accent2"/>
          <w:bottom w:val="single" w:sz="4" w:space="0" w:color="74D1EA" w:themeColor="accent2"/>
          <w:right w:val="single" w:sz="4" w:space="0" w:color="74D1EA" w:themeColor="accent2"/>
          <w:insideH w:val="nil"/>
        </w:tcBorders>
        <w:shd w:val="clear" w:color="auto" w:fill="74D1EA" w:themeFill="accent2"/>
      </w:tcPr>
    </w:tblStylePr>
    <w:tblStylePr w:type="lastRow">
      <w:rPr>
        <w:b/>
        <w:bCs/>
      </w:rPr>
      <w:tblPr/>
      <w:tcPr>
        <w:tcBorders>
          <w:top w:val="double" w:sz="4" w:space="0" w:color="ABE3F2" w:themeColor="accent2" w:themeTint="99"/>
        </w:tcBorders>
      </w:tcPr>
    </w:tblStylePr>
    <w:tblStylePr w:type="firstCol">
      <w:rPr>
        <w:b/>
        <w:bCs/>
      </w:rPr>
    </w:tblStylePr>
    <w:tblStylePr w:type="lastCol">
      <w:rPr>
        <w:b/>
        <w:bCs/>
      </w:rPr>
    </w:tblStylePr>
    <w:tblStylePr w:type="band1Vert">
      <w:tblPr/>
      <w:tcPr>
        <w:shd w:val="clear" w:color="auto" w:fill="E3F5FA" w:themeFill="accent2" w:themeFillTint="33"/>
      </w:tcPr>
    </w:tblStylePr>
    <w:tblStylePr w:type="band1Horz">
      <w:tblPr/>
      <w:tcPr>
        <w:shd w:val="clear" w:color="auto" w:fill="E3F5FA" w:themeFill="accent2" w:themeFillTint="33"/>
      </w:tcPr>
    </w:tblStylePr>
  </w:style>
  <w:style w:type="table" w:styleId="ListTable4-Accent3">
    <w:name w:val="List Table 4 Accent 3"/>
    <w:basedOn w:val="TableNormal"/>
    <w:uiPriority w:val="49"/>
    <w:rsid w:val="0058629F"/>
    <w:pPr>
      <w:spacing w:line="240" w:lineRule="auto"/>
    </w:pPr>
    <w:tblPr>
      <w:tblStyleRowBandSize w:val="1"/>
      <w:tblStyleColBandSize w:val="1"/>
      <w:tblBorders>
        <w:top w:val="single" w:sz="4" w:space="0" w:color="B2E5DC" w:themeColor="accent3" w:themeTint="99"/>
        <w:left w:val="single" w:sz="4" w:space="0" w:color="B2E5DC" w:themeColor="accent3" w:themeTint="99"/>
        <w:bottom w:val="single" w:sz="4" w:space="0" w:color="B2E5DC" w:themeColor="accent3" w:themeTint="99"/>
        <w:right w:val="single" w:sz="4" w:space="0" w:color="B2E5DC" w:themeColor="accent3" w:themeTint="99"/>
        <w:insideH w:val="single" w:sz="4" w:space="0" w:color="B2E5DC" w:themeColor="accent3" w:themeTint="99"/>
      </w:tblBorders>
    </w:tblPr>
    <w:tblStylePr w:type="firstRow">
      <w:rPr>
        <w:b/>
        <w:bCs/>
        <w:color w:val="FFFFFF" w:themeColor="background1"/>
      </w:rPr>
      <w:tblPr/>
      <w:tcPr>
        <w:tcBorders>
          <w:top w:val="single" w:sz="4" w:space="0" w:color="7FD5C5" w:themeColor="accent3"/>
          <w:left w:val="single" w:sz="4" w:space="0" w:color="7FD5C5" w:themeColor="accent3"/>
          <w:bottom w:val="single" w:sz="4" w:space="0" w:color="7FD5C5" w:themeColor="accent3"/>
          <w:right w:val="single" w:sz="4" w:space="0" w:color="7FD5C5" w:themeColor="accent3"/>
          <w:insideH w:val="nil"/>
        </w:tcBorders>
        <w:shd w:val="clear" w:color="auto" w:fill="7FD5C5" w:themeFill="accent3"/>
      </w:tcPr>
    </w:tblStylePr>
    <w:tblStylePr w:type="lastRow">
      <w:rPr>
        <w:b/>
        <w:bCs/>
      </w:rPr>
      <w:tblPr/>
      <w:tcPr>
        <w:tcBorders>
          <w:top w:val="double" w:sz="4" w:space="0" w:color="B2E5DC" w:themeColor="accent3" w:themeTint="99"/>
        </w:tcBorders>
      </w:tcPr>
    </w:tblStylePr>
    <w:tblStylePr w:type="firstCol">
      <w:rPr>
        <w:b/>
        <w:bCs/>
      </w:rPr>
    </w:tblStylePr>
    <w:tblStylePr w:type="lastCol">
      <w:rPr>
        <w:b/>
        <w:bCs/>
      </w:rPr>
    </w:tblStylePr>
    <w:tblStylePr w:type="band1Vert">
      <w:tblPr/>
      <w:tcPr>
        <w:shd w:val="clear" w:color="auto" w:fill="E5F6F3" w:themeFill="accent3" w:themeFillTint="33"/>
      </w:tcPr>
    </w:tblStylePr>
    <w:tblStylePr w:type="band1Horz">
      <w:tblPr/>
      <w:tcPr>
        <w:shd w:val="clear" w:color="auto" w:fill="E5F6F3" w:themeFill="accent3" w:themeFillTint="33"/>
      </w:tcPr>
    </w:tblStylePr>
  </w:style>
  <w:style w:type="table" w:styleId="ListTable4-Accent4">
    <w:name w:val="List Table 4 Accent 4"/>
    <w:basedOn w:val="TableNormal"/>
    <w:uiPriority w:val="49"/>
    <w:rsid w:val="0058629F"/>
    <w:pPr>
      <w:spacing w:line="240" w:lineRule="auto"/>
    </w:pPr>
    <w:tblPr>
      <w:tblStyleRowBandSize w:val="1"/>
      <w:tblStyleColBandSize w:val="1"/>
      <w:tblBorders>
        <w:top w:val="single" w:sz="4" w:space="0" w:color="FCE5AC" w:themeColor="accent4" w:themeTint="99"/>
        <w:left w:val="single" w:sz="4" w:space="0" w:color="FCE5AC" w:themeColor="accent4" w:themeTint="99"/>
        <w:bottom w:val="single" w:sz="4" w:space="0" w:color="FCE5AC" w:themeColor="accent4" w:themeTint="99"/>
        <w:right w:val="single" w:sz="4" w:space="0" w:color="FCE5AC" w:themeColor="accent4" w:themeTint="99"/>
        <w:insideH w:val="single" w:sz="4" w:space="0" w:color="FCE5AC" w:themeColor="accent4" w:themeTint="99"/>
      </w:tblBorders>
    </w:tblPr>
    <w:tblStylePr w:type="firstRow">
      <w:rPr>
        <w:b/>
        <w:bCs/>
        <w:color w:val="FFFFFF" w:themeColor="background1"/>
      </w:rPr>
      <w:tblPr/>
      <w:tcPr>
        <w:tcBorders>
          <w:top w:val="single" w:sz="4" w:space="0" w:color="FBD476" w:themeColor="accent4"/>
          <w:left w:val="single" w:sz="4" w:space="0" w:color="FBD476" w:themeColor="accent4"/>
          <w:bottom w:val="single" w:sz="4" w:space="0" w:color="FBD476" w:themeColor="accent4"/>
          <w:right w:val="single" w:sz="4" w:space="0" w:color="FBD476" w:themeColor="accent4"/>
          <w:insideH w:val="nil"/>
        </w:tcBorders>
        <w:shd w:val="clear" w:color="auto" w:fill="FBD476" w:themeFill="accent4"/>
      </w:tcPr>
    </w:tblStylePr>
    <w:tblStylePr w:type="lastRow">
      <w:rPr>
        <w:b/>
        <w:bCs/>
      </w:rPr>
      <w:tblPr/>
      <w:tcPr>
        <w:tcBorders>
          <w:top w:val="double" w:sz="4" w:space="0" w:color="FCE5AC" w:themeColor="accent4" w:themeTint="99"/>
        </w:tcBorders>
      </w:tcPr>
    </w:tblStylePr>
    <w:tblStylePr w:type="firstCol">
      <w:rPr>
        <w:b/>
        <w:bCs/>
      </w:rPr>
    </w:tblStylePr>
    <w:tblStylePr w:type="lastCol">
      <w:rPr>
        <w:b/>
        <w:bCs/>
      </w:rPr>
    </w:tblStylePr>
    <w:tblStylePr w:type="band1Vert">
      <w:tblPr/>
      <w:tcPr>
        <w:shd w:val="clear" w:color="auto" w:fill="FEF6E3" w:themeFill="accent4" w:themeFillTint="33"/>
      </w:tcPr>
    </w:tblStylePr>
    <w:tblStylePr w:type="band1Horz">
      <w:tblPr/>
      <w:tcPr>
        <w:shd w:val="clear" w:color="auto" w:fill="FEF6E3" w:themeFill="accent4" w:themeFillTint="33"/>
      </w:tcPr>
    </w:tblStylePr>
  </w:style>
  <w:style w:type="table" w:styleId="ListTable4-Accent5">
    <w:name w:val="List Table 4 Accent 5"/>
    <w:basedOn w:val="TableNormal"/>
    <w:uiPriority w:val="49"/>
    <w:rsid w:val="0058629F"/>
    <w:pPr>
      <w:spacing w:line="240" w:lineRule="auto"/>
    </w:pPr>
    <w:tblPr>
      <w:tblStyleRowBandSize w:val="1"/>
      <w:tblStyleColBandSize w:val="1"/>
      <w:tblBorders>
        <w:top w:val="single" w:sz="4" w:space="0" w:color="F3C5B8" w:themeColor="accent5" w:themeTint="99"/>
        <w:left w:val="single" w:sz="4" w:space="0" w:color="F3C5B8" w:themeColor="accent5" w:themeTint="99"/>
        <w:bottom w:val="single" w:sz="4" w:space="0" w:color="F3C5B8" w:themeColor="accent5" w:themeTint="99"/>
        <w:right w:val="single" w:sz="4" w:space="0" w:color="F3C5B8" w:themeColor="accent5" w:themeTint="99"/>
        <w:insideH w:val="single" w:sz="4" w:space="0" w:color="F3C5B8" w:themeColor="accent5" w:themeTint="99"/>
      </w:tblBorders>
    </w:tblPr>
    <w:tblStylePr w:type="firstRow">
      <w:rPr>
        <w:b/>
        <w:bCs/>
        <w:color w:val="FFFFFF" w:themeColor="background1"/>
      </w:rPr>
      <w:tblPr/>
      <w:tcPr>
        <w:tcBorders>
          <w:top w:val="single" w:sz="4" w:space="0" w:color="EBA089" w:themeColor="accent5"/>
          <w:left w:val="single" w:sz="4" w:space="0" w:color="EBA089" w:themeColor="accent5"/>
          <w:bottom w:val="single" w:sz="4" w:space="0" w:color="EBA089" w:themeColor="accent5"/>
          <w:right w:val="single" w:sz="4" w:space="0" w:color="EBA089" w:themeColor="accent5"/>
          <w:insideH w:val="nil"/>
        </w:tcBorders>
        <w:shd w:val="clear" w:color="auto" w:fill="EBA089" w:themeFill="accent5"/>
      </w:tcPr>
    </w:tblStylePr>
    <w:tblStylePr w:type="lastRow">
      <w:rPr>
        <w:b/>
        <w:bCs/>
      </w:rPr>
      <w:tblPr/>
      <w:tcPr>
        <w:tcBorders>
          <w:top w:val="double" w:sz="4" w:space="0" w:color="F3C5B8" w:themeColor="accent5" w:themeTint="99"/>
        </w:tcBorders>
      </w:tcPr>
    </w:tblStylePr>
    <w:tblStylePr w:type="firstCol">
      <w:rPr>
        <w:b/>
        <w:bCs/>
      </w:rPr>
    </w:tblStylePr>
    <w:tblStylePr w:type="lastCol">
      <w:rPr>
        <w:b/>
        <w:bCs/>
      </w:rPr>
    </w:tblStylePr>
    <w:tblStylePr w:type="band1Vert">
      <w:tblPr/>
      <w:tcPr>
        <w:shd w:val="clear" w:color="auto" w:fill="FBEBE7" w:themeFill="accent5" w:themeFillTint="33"/>
      </w:tcPr>
    </w:tblStylePr>
    <w:tblStylePr w:type="band1Horz">
      <w:tblPr/>
      <w:tcPr>
        <w:shd w:val="clear" w:color="auto" w:fill="FBEBE7" w:themeFill="accent5" w:themeFillTint="33"/>
      </w:tcPr>
    </w:tblStylePr>
  </w:style>
  <w:style w:type="table" w:styleId="ListTable4-Accent6">
    <w:name w:val="List Table 4 Accent 6"/>
    <w:basedOn w:val="TableNormal"/>
    <w:uiPriority w:val="49"/>
    <w:rsid w:val="0058629F"/>
    <w:pPr>
      <w:spacing w:line="240" w:lineRule="auto"/>
    </w:pPr>
    <w:tblPr>
      <w:tblStyleRowBandSize w:val="1"/>
      <w:tblStyleColBandSize w:val="1"/>
      <w:tblBorders>
        <w:top w:val="single" w:sz="4" w:space="0" w:color="2D5CD5" w:themeColor="accent6" w:themeTint="99"/>
        <w:left w:val="single" w:sz="4" w:space="0" w:color="2D5CD5" w:themeColor="accent6" w:themeTint="99"/>
        <w:bottom w:val="single" w:sz="4" w:space="0" w:color="2D5CD5" w:themeColor="accent6" w:themeTint="99"/>
        <w:right w:val="single" w:sz="4" w:space="0" w:color="2D5CD5" w:themeColor="accent6" w:themeTint="99"/>
        <w:insideH w:val="single" w:sz="4" w:space="0" w:color="2D5CD5" w:themeColor="accent6" w:themeTint="99"/>
      </w:tblBorders>
    </w:tblPr>
    <w:tblStylePr w:type="firstRow">
      <w:rPr>
        <w:b/>
        <w:bCs/>
        <w:color w:val="FFFFFF" w:themeColor="background1"/>
      </w:rPr>
      <w:tblPr/>
      <w:tcPr>
        <w:tcBorders>
          <w:top w:val="single" w:sz="4" w:space="0" w:color="0F204B" w:themeColor="accent6"/>
          <w:left w:val="single" w:sz="4" w:space="0" w:color="0F204B" w:themeColor="accent6"/>
          <w:bottom w:val="single" w:sz="4" w:space="0" w:color="0F204B" w:themeColor="accent6"/>
          <w:right w:val="single" w:sz="4" w:space="0" w:color="0F204B" w:themeColor="accent6"/>
          <w:insideH w:val="nil"/>
        </w:tcBorders>
        <w:shd w:val="clear" w:color="auto" w:fill="0F204B" w:themeFill="accent6"/>
      </w:tcPr>
    </w:tblStylePr>
    <w:tblStylePr w:type="lastRow">
      <w:rPr>
        <w:b/>
        <w:bCs/>
      </w:rPr>
      <w:tblPr/>
      <w:tcPr>
        <w:tcBorders>
          <w:top w:val="double" w:sz="4" w:space="0" w:color="2D5CD5" w:themeColor="accent6" w:themeTint="99"/>
        </w:tcBorders>
      </w:tcPr>
    </w:tblStylePr>
    <w:tblStylePr w:type="firstCol">
      <w:rPr>
        <w:b/>
        <w:bCs/>
      </w:rPr>
    </w:tblStylePr>
    <w:tblStylePr w:type="lastCol">
      <w:rPr>
        <w:b/>
        <w:bCs/>
      </w:rPr>
    </w:tblStylePr>
    <w:tblStylePr w:type="band1Vert">
      <w:tblPr/>
      <w:tcPr>
        <w:shd w:val="clear" w:color="auto" w:fill="B9C8F1" w:themeFill="accent6" w:themeFillTint="33"/>
      </w:tcPr>
    </w:tblStylePr>
    <w:tblStylePr w:type="band1Horz">
      <w:tblPr/>
      <w:tcPr>
        <w:shd w:val="clear" w:color="auto" w:fill="B9C8F1" w:themeFill="accent6" w:themeFillTint="33"/>
      </w:tcPr>
    </w:tblStylePr>
  </w:style>
  <w:style w:type="table" w:styleId="ListTable5Dark">
    <w:name w:val="List Table 5 Dark"/>
    <w:basedOn w:val="TableNormal"/>
    <w:uiPriority w:val="50"/>
    <w:rsid w:val="0058629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8629F"/>
    <w:pPr>
      <w:spacing w:line="240" w:lineRule="auto"/>
    </w:pPr>
    <w:rPr>
      <w:color w:val="FFFFFF" w:themeColor="background1"/>
    </w:rPr>
    <w:tblPr>
      <w:tblStyleRowBandSize w:val="1"/>
      <w:tblStyleColBandSize w:val="1"/>
      <w:tblBorders>
        <w:top w:val="single" w:sz="24" w:space="0" w:color="3D7EDB" w:themeColor="accent1"/>
        <w:left w:val="single" w:sz="24" w:space="0" w:color="3D7EDB" w:themeColor="accent1"/>
        <w:bottom w:val="single" w:sz="24" w:space="0" w:color="3D7EDB" w:themeColor="accent1"/>
        <w:right w:val="single" w:sz="24" w:space="0" w:color="3D7EDB" w:themeColor="accent1"/>
      </w:tblBorders>
    </w:tblPr>
    <w:tcPr>
      <w:shd w:val="clear" w:color="auto" w:fill="3D7ED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8629F"/>
    <w:pPr>
      <w:spacing w:line="240" w:lineRule="auto"/>
    </w:pPr>
    <w:rPr>
      <w:color w:val="FFFFFF" w:themeColor="background1"/>
    </w:rPr>
    <w:tblPr>
      <w:tblStyleRowBandSize w:val="1"/>
      <w:tblStyleColBandSize w:val="1"/>
      <w:tblBorders>
        <w:top w:val="single" w:sz="24" w:space="0" w:color="74D1EA" w:themeColor="accent2"/>
        <w:left w:val="single" w:sz="24" w:space="0" w:color="74D1EA" w:themeColor="accent2"/>
        <w:bottom w:val="single" w:sz="24" w:space="0" w:color="74D1EA" w:themeColor="accent2"/>
        <w:right w:val="single" w:sz="24" w:space="0" w:color="74D1EA" w:themeColor="accent2"/>
      </w:tblBorders>
    </w:tblPr>
    <w:tcPr>
      <w:shd w:val="clear" w:color="auto" w:fill="74D1E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8629F"/>
    <w:pPr>
      <w:spacing w:line="240" w:lineRule="auto"/>
    </w:pPr>
    <w:rPr>
      <w:color w:val="FFFFFF" w:themeColor="background1"/>
    </w:rPr>
    <w:tblPr>
      <w:tblStyleRowBandSize w:val="1"/>
      <w:tblStyleColBandSize w:val="1"/>
      <w:tblBorders>
        <w:top w:val="single" w:sz="24" w:space="0" w:color="7FD5C5" w:themeColor="accent3"/>
        <w:left w:val="single" w:sz="24" w:space="0" w:color="7FD5C5" w:themeColor="accent3"/>
        <w:bottom w:val="single" w:sz="24" w:space="0" w:color="7FD5C5" w:themeColor="accent3"/>
        <w:right w:val="single" w:sz="24" w:space="0" w:color="7FD5C5" w:themeColor="accent3"/>
      </w:tblBorders>
    </w:tblPr>
    <w:tcPr>
      <w:shd w:val="clear" w:color="auto" w:fill="7FD5C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8629F"/>
    <w:pPr>
      <w:spacing w:line="240" w:lineRule="auto"/>
    </w:pPr>
    <w:rPr>
      <w:color w:val="FFFFFF" w:themeColor="background1"/>
    </w:rPr>
    <w:tblPr>
      <w:tblStyleRowBandSize w:val="1"/>
      <w:tblStyleColBandSize w:val="1"/>
      <w:tblBorders>
        <w:top w:val="single" w:sz="24" w:space="0" w:color="FBD476" w:themeColor="accent4"/>
        <w:left w:val="single" w:sz="24" w:space="0" w:color="FBD476" w:themeColor="accent4"/>
        <w:bottom w:val="single" w:sz="24" w:space="0" w:color="FBD476" w:themeColor="accent4"/>
        <w:right w:val="single" w:sz="24" w:space="0" w:color="FBD476" w:themeColor="accent4"/>
      </w:tblBorders>
    </w:tblPr>
    <w:tcPr>
      <w:shd w:val="clear" w:color="auto" w:fill="FBD47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8629F"/>
    <w:pPr>
      <w:spacing w:line="240" w:lineRule="auto"/>
    </w:pPr>
    <w:rPr>
      <w:color w:val="FFFFFF" w:themeColor="background1"/>
    </w:rPr>
    <w:tblPr>
      <w:tblStyleRowBandSize w:val="1"/>
      <w:tblStyleColBandSize w:val="1"/>
      <w:tblBorders>
        <w:top w:val="single" w:sz="24" w:space="0" w:color="EBA089" w:themeColor="accent5"/>
        <w:left w:val="single" w:sz="24" w:space="0" w:color="EBA089" w:themeColor="accent5"/>
        <w:bottom w:val="single" w:sz="24" w:space="0" w:color="EBA089" w:themeColor="accent5"/>
        <w:right w:val="single" w:sz="24" w:space="0" w:color="EBA089" w:themeColor="accent5"/>
      </w:tblBorders>
    </w:tblPr>
    <w:tcPr>
      <w:shd w:val="clear" w:color="auto" w:fill="EBA08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8629F"/>
    <w:pPr>
      <w:spacing w:line="240" w:lineRule="auto"/>
    </w:pPr>
    <w:rPr>
      <w:color w:val="FFFFFF" w:themeColor="background1"/>
    </w:rPr>
    <w:tblPr>
      <w:tblStyleRowBandSize w:val="1"/>
      <w:tblStyleColBandSize w:val="1"/>
      <w:tblBorders>
        <w:top w:val="single" w:sz="24" w:space="0" w:color="0F204B" w:themeColor="accent6"/>
        <w:left w:val="single" w:sz="24" w:space="0" w:color="0F204B" w:themeColor="accent6"/>
        <w:bottom w:val="single" w:sz="24" w:space="0" w:color="0F204B" w:themeColor="accent6"/>
        <w:right w:val="single" w:sz="24" w:space="0" w:color="0F204B" w:themeColor="accent6"/>
      </w:tblBorders>
    </w:tblPr>
    <w:tcPr>
      <w:shd w:val="clear" w:color="auto" w:fill="0F204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8629F"/>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8629F"/>
    <w:pPr>
      <w:spacing w:line="240" w:lineRule="auto"/>
    </w:pPr>
    <w:rPr>
      <w:color w:val="205BB0" w:themeColor="accent1" w:themeShade="BF"/>
    </w:rPr>
    <w:tblPr>
      <w:tblStyleRowBandSize w:val="1"/>
      <w:tblStyleColBandSize w:val="1"/>
      <w:tblBorders>
        <w:top w:val="single" w:sz="4" w:space="0" w:color="3D7EDB" w:themeColor="accent1"/>
        <w:bottom w:val="single" w:sz="4" w:space="0" w:color="3D7EDB" w:themeColor="accent1"/>
      </w:tblBorders>
    </w:tblPr>
    <w:tblStylePr w:type="firstRow">
      <w:rPr>
        <w:b/>
        <w:bCs/>
      </w:rPr>
      <w:tblPr/>
      <w:tcPr>
        <w:tcBorders>
          <w:bottom w:val="single" w:sz="4" w:space="0" w:color="3D7EDB" w:themeColor="accent1"/>
        </w:tcBorders>
      </w:tcPr>
    </w:tblStylePr>
    <w:tblStylePr w:type="lastRow">
      <w:rPr>
        <w:b/>
        <w:bCs/>
      </w:rPr>
      <w:tblPr/>
      <w:tcPr>
        <w:tcBorders>
          <w:top w:val="double" w:sz="4" w:space="0" w:color="3D7EDB" w:themeColor="accent1"/>
        </w:tcBorders>
      </w:tcPr>
    </w:tblStylePr>
    <w:tblStylePr w:type="firstCol">
      <w:rPr>
        <w:b/>
        <w:bCs/>
      </w:rPr>
    </w:tblStylePr>
    <w:tblStylePr w:type="lastCol">
      <w:rPr>
        <w:b/>
        <w:bCs/>
      </w:rPr>
    </w:tblStylePr>
    <w:tblStylePr w:type="band1Vert">
      <w:tblPr/>
      <w:tcPr>
        <w:shd w:val="clear" w:color="auto" w:fill="D8E5F7" w:themeFill="accent1" w:themeFillTint="33"/>
      </w:tcPr>
    </w:tblStylePr>
    <w:tblStylePr w:type="band1Horz">
      <w:tblPr/>
      <w:tcPr>
        <w:shd w:val="clear" w:color="auto" w:fill="D8E5F7" w:themeFill="accent1" w:themeFillTint="33"/>
      </w:tcPr>
    </w:tblStylePr>
  </w:style>
  <w:style w:type="table" w:styleId="ListTable6Colorful-Accent2">
    <w:name w:val="List Table 6 Colorful Accent 2"/>
    <w:basedOn w:val="TableNormal"/>
    <w:uiPriority w:val="51"/>
    <w:rsid w:val="0058629F"/>
    <w:pPr>
      <w:spacing w:line="240" w:lineRule="auto"/>
    </w:pPr>
    <w:rPr>
      <w:color w:val="27B7DE" w:themeColor="accent2" w:themeShade="BF"/>
    </w:rPr>
    <w:tblPr>
      <w:tblStyleRowBandSize w:val="1"/>
      <w:tblStyleColBandSize w:val="1"/>
      <w:tblBorders>
        <w:top w:val="single" w:sz="4" w:space="0" w:color="74D1EA" w:themeColor="accent2"/>
        <w:bottom w:val="single" w:sz="4" w:space="0" w:color="74D1EA" w:themeColor="accent2"/>
      </w:tblBorders>
    </w:tblPr>
    <w:tblStylePr w:type="firstRow">
      <w:rPr>
        <w:b/>
        <w:bCs/>
      </w:rPr>
      <w:tblPr/>
      <w:tcPr>
        <w:tcBorders>
          <w:bottom w:val="single" w:sz="4" w:space="0" w:color="74D1EA" w:themeColor="accent2"/>
        </w:tcBorders>
      </w:tcPr>
    </w:tblStylePr>
    <w:tblStylePr w:type="lastRow">
      <w:rPr>
        <w:b/>
        <w:bCs/>
      </w:rPr>
      <w:tblPr/>
      <w:tcPr>
        <w:tcBorders>
          <w:top w:val="double" w:sz="4" w:space="0" w:color="74D1EA" w:themeColor="accent2"/>
        </w:tcBorders>
      </w:tcPr>
    </w:tblStylePr>
    <w:tblStylePr w:type="firstCol">
      <w:rPr>
        <w:b/>
        <w:bCs/>
      </w:rPr>
    </w:tblStylePr>
    <w:tblStylePr w:type="lastCol">
      <w:rPr>
        <w:b/>
        <w:bCs/>
      </w:rPr>
    </w:tblStylePr>
    <w:tblStylePr w:type="band1Vert">
      <w:tblPr/>
      <w:tcPr>
        <w:shd w:val="clear" w:color="auto" w:fill="E3F5FA" w:themeFill="accent2" w:themeFillTint="33"/>
      </w:tcPr>
    </w:tblStylePr>
    <w:tblStylePr w:type="band1Horz">
      <w:tblPr/>
      <w:tcPr>
        <w:shd w:val="clear" w:color="auto" w:fill="E3F5FA" w:themeFill="accent2" w:themeFillTint="33"/>
      </w:tcPr>
    </w:tblStylePr>
  </w:style>
  <w:style w:type="table" w:styleId="ListTable6Colorful-Accent3">
    <w:name w:val="List Table 6 Colorful Accent 3"/>
    <w:basedOn w:val="TableNormal"/>
    <w:uiPriority w:val="51"/>
    <w:rsid w:val="0058629F"/>
    <w:pPr>
      <w:spacing w:line="240" w:lineRule="auto"/>
    </w:pPr>
    <w:rPr>
      <w:color w:val="3FBFA7" w:themeColor="accent3" w:themeShade="BF"/>
    </w:rPr>
    <w:tblPr>
      <w:tblStyleRowBandSize w:val="1"/>
      <w:tblStyleColBandSize w:val="1"/>
      <w:tblBorders>
        <w:top w:val="single" w:sz="4" w:space="0" w:color="7FD5C5" w:themeColor="accent3"/>
        <w:bottom w:val="single" w:sz="4" w:space="0" w:color="7FD5C5" w:themeColor="accent3"/>
      </w:tblBorders>
    </w:tblPr>
    <w:tblStylePr w:type="firstRow">
      <w:rPr>
        <w:b/>
        <w:bCs/>
      </w:rPr>
      <w:tblPr/>
      <w:tcPr>
        <w:tcBorders>
          <w:bottom w:val="single" w:sz="4" w:space="0" w:color="7FD5C5" w:themeColor="accent3"/>
        </w:tcBorders>
      </w:tcPr>
    </w:tblStylePr>
    <w:tblStylePr w:type="lastRow">
      <w:rPr>
        <w:b/>
        <w:bCs/>
      </w:rPr>
      <w:tblPr/>
      <w:tcPr>
        <w:tcBorders>
          <w:top w:val="double" w:sz="4" w:space="0" w:color="7FD5C5" w:themeColor="accent3"/>
        </w:tcBorders>
      </w:tcPr>
    </w:tblStylePr>
    <w:tblStylePr w:type="firstCol">
      <w:rPr>
        <w:b/>
        <w:bCs/>
      </w:rPr>
    </w:tblStylePr>
    <w:tblStylePr w:type="lastCol">
      <w:rPr>
        <w:b/>
        <w:bCs/>
      </w:rPr>
    </w:tblStylePr>
    <w:tblStylePr w:type="band1Vert">
      <w:tblPr/>
      <w:tcPr>
        <w:shd w:val="clear" w:color="auto" w:fill="E5F6F3" w:themeFill="accent3" w:themeFillTint="33"/>
      </w:tcPr>
    </w:tblStylePr>
    <w:tblStylePr w:type="band1Horz">
      <w:tblPr/>
      <w:tcPr>
        <w:shd w:val="clear" w:color="auto" w:fill="E5F6F3" w:themeFill="accent3" w:themeFillTint="33"/>
      </w:tcPr>
    </w:tblStylePr>
  </w:style>
  <w:style w:type="table" w:styleId="ListTable6Colorful-Accent4">
    <w:name w:val="List Table 6 Colorful Accent 4"/>
    <w:basedOn w:val="TableNormal"/>
    <w:uiPriority w:val="51"/>
    <w:rsid w:val="0058629F"/>
    <w:pPr>
      <w:spacing w:line="240" w:lineRule="auto"/>
    </w:pPr>
    <w:rPr>
      <w:color w:val="F8B71B" w:themeColor="accent4" w:themeShade="BF"/>
    </w:rPr>
    <w:tblPr>
      <w:tblStyleRowBandSize w:val="1"/>
      <w:tblStyleColBandSize w:val="1"/>
      <w:tblBorders>
        <w:top w:val="single" w:sz="4" w:space="0" w:color="FBD476" w:themeColor="accent4"/>
        <w:bottom w:val="single" w:sz="4" w:space="0" w:color="FBD476" w:themeColor="accent4"/>
      </w:tblBorders>
    </w:tblPr>
    <w:tblStylePr w:type="firstRow">
      <w:rPr>
        <w:b/>
        <w:bCs/>
      </w:rPr>
      <w:tblPr/>
      <w:tcPr>
        <w:tcBorders>
          <w:bottom w:val="single" w:sz="4" w:space="0" w:color="FBD476" w:themeColor="accent4"/>
        </w:tcBorders>
      </w:tcPr>
    </w:tblStylePr>
    <w:tblStylePr w:type="lastRow">
      <w:rPr>
        <w:b/>
        <w:bCs/>
      </w:rPr>
      <w:tblPr/>
      <w:tcPr>
        <w:tcBorders>
          <w:top w:val="double" w:sz="4" w:space="0" w:color="FBD476" w:themeColor="accent4"/>
        </w:tcBorders>
      </w:tcPr>
    </w:tblStylePr>
    <w:tblStylePr w:type="firstCol">
      <w:rPr>
        <w:b/>
        <w:bCs/>
      </w:rPr>
    </w:tblStylePr>
    <w:tblStylePr w:type="lastCol">
      <w:rPr>
        <w:b/>
        <w:bCs/>
      </w:rPr>
    </w:tblStylePr>
    <w:tblStylePr w:type="band1Vert">
      <w:tblPr/>
      <w:tcPr>
        <w:shd w:val="clear" w:color="auto" w:fill="FEF6E3" w:themeFill="accent4" w:themeFillTint="33"/>
      </w:tcPr>
    </w:tblStylePr>
    <w:tblStylePr w:type="band1Horz">
      <w:tblPr/>
      <w:tcPr>
        <w:shd w:val="clear" w:color="auto" w:fill="FEF6E3" w:themeFill="accent4" w:themeFillTint="33"/>
      </w:tcPr>
    </w:tblStylePr>
  </w:style>
  <w:style w:type="table" w:styleId="ListTable6Colorful-Accent5">
    <w:name w:val="List Table 6 Colorful Accent 5"/>
    <w:basedOn w:val="TableNormal"/>
    <w:uiPriority w:val="51"/>
    <w:rsid w:val="0058629F"/>
    <w:pPr>
      <w:spacing w:line="240" w:lineRule="auto"/>
    </w:pPr>
    <w:rPr>
      <w:color w:val="DD5E38" w:themeColor="accent5" w:themeShade="BF"/>
    </w:rPr>
    <w:tblPr>
      <w:tblStyleRowBandSize w:val="1"/>
      <w:tblStyleColBandSize w:val="1"/>
      <w:tblBorders>
        <w:top w:val="single" w:sz="4" w:space="0" w:color="EBA089" w:themeColor="accent5"/>
        <w:bottom w:val="single" w:sz="4" w:space="0" w:color="EBA089" w:themeColor="accent5"/>
      </w:tblBorders>
    </w:tblPr>
    <w:tblStylePr w:type="firstRow">
      <w:rPr>
        <w:b/>
        <w:bCs/>
      </w:rPr>
      <w:tblPr/>
      <w:tcPr>
        <w:tcBorders>
          <w:bottom w:val="single" w:sz="4" w:space="0" w:color="EBA089" w:themeColor="accent5"/>
        </w:tcBorders>
      </w:tcPr>
    </w:tblStylePr>
    <w:tblStylePr w:type="lastRow">
      <w:rPr>
        <w:b/>
        <w:bCs/>
      </w:rPr>
      <w:tblPr/>
      <w:tcPr>
        <w:tcBorders>
          <w:top w:val="double" w:sz="4" w:space="0" w:color="EBA089" w:themeColor="accent5"/>
        </w:tcBorders>
      </w:tcPr>
    </w:tblStylePr>
    <w:tblStylePr w:type="firstCol">
      <w:rPr>
        <w:b/>
        <w:bCs/>
      </w:rPr>
    </w:tblStylePr>
    <w:tblStylePr w:type="lastCol">
      <w:rPr>
        <w:b/>
        <w:bCs/>
      </w:rPr>
    </w:tblStylePr>
    <w:tblStylePr w:type="band1Vert">
      <w:tblPr/>
      <w:tcPr>
        <w:shd w:val="clear" w:color="auto" w:fill="FBEBE7" w:themeFill="accent5" w:themeFillTint="33"/>
      </w:tcPr>
    </w:tblStylePr>
    <w:tblStylePr w:type="band1Horz">
      <w:tblPr/>
      <w:tcPr>
        <w:shd w:val="clear" w:color="auto" w:fill="FBEBE7" w:themeFill="accent5" w:themeFillTint="33"/>
      </w:tcPr>
    </w:tblStylePr>
  </w:style>
  <w:style w:type="table" w:styleId="ListTable6Colorful-Accent6">
    <w:name w:val="List Table 6 Colorful Accent 6"/>
    <w:basedOn w:val="TableNormal"/>
    <w:uiPriority w:val="51"/>
    <w:rsid w:val="0058629F"/>
    <w:pPr>
      <w:spacing w:line="240" w:lineRule="auto"/>
    </w:pPr>
    <w:rPr>
      <w:color w:val="0B1738" w:themeColor="accent6" w:themeShade="BF"/>
    </w:rPr>
    <w:tblPr>
      <w:tblStyleRowBandSize w:val="1"/>
      <w:tblStyleColBandSize w:val="1"/>
      <w:tblBorders>
        <w:top w:val="single" w:sz="4" w:space="0" w:color="0F204B" w:themeColor="accent6"/>
        <w:bottom w:val="single" w:sz="4" w:space="0" w:color="0F204B" w:themeColor="accent6"/>
      </w:tblBorders>
    </w:tblPr>
    <w:tblStylePr w:type="firstRow">
      <w:rPr>
        <w:b/>
        <w:bCs/>
      </w:rPr>
      <w:tblPr/>
      <w:tcPr>
        <w:tcBorders>
          <w:bottom w:val="single" w:sz="4" w:space="0" w:color="0F204B" w:themeColor="accent6"/>
        </w:tcBorders>
      </w:tcPr>
    </w:tblStylePr>
    <w:tblStylePr w:type="lastRow">
      <w:rPr>
        <w:b/>
        <w:bCs/>
      </w:rPr>
      <w:tblPr/>
      <w:tcPr>
        <w:tcBorders>
          <w:top w:val="double" w:sz="4" w:space="0" w:color="0F204B" w:themeColor="accent6"/>
        </w:tcBorders>
      </w:tcPr>
    </w:tblStylePr>
    <w:tblStylePr w:type="firstCol">
      <w:rPr>
        <w:b/>
        <w:bCs/>
      </w:rPr>
    </w:tblStylePr>
    <w:tblStylePr w:type="lastCol">
      <w:rPr>
        <w:b/>
        <w:bCs/>
      </w:rPr>
    </w:tblStylePr>
    <w:tblStylePr w:type="band1Vert">
      <w:tblPr/>
      <w:tcPr>
        <w:shd w:val="clear" w:color="auto" w:fill="B9C8F1" w:themeFill="accent6" w:themeFillTint="33"/>
      </w:tcPr>
    </w:tblStylePr>
    <w:tblStylePr w:type="band1Horz">
      <w:tblPr/>
      <w:tcPr>
        <w:shd w:val="clear" w:color="auto" w:fill="B9C8F1" w:themeFill="accent6" w:themeFillTint="33"/>
      </w:tcPr>
    </w:tblStylePr>
  </w:style>
  <w:style w:type="table" w:styleId="ListTable7Colorful">
    <w:name w:val="List Table 7 Colorful"/>
    <w:basedOn w:val="TableNormal"/>
    <w:uiPriority w:val="52"/>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8629F"/>
    <w:pPr>
      <w:spacing w:line="240" w:lineRule="auto"/>
    </w:pPr>
    <w:rPr>
      <w:color w:val="205BB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7ED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7ED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7ED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7EDB" w:themeColor="accent1"/>
        </w:tcBorders>
        <w:shd w:val="clear" w:color="auto" w:fill="FFFFFF" w:themeFill="background1"/>
      </w:tcPr>
    </w:tblStylePr>
    <w:tblStylePr w:type="band1Vert">
      <w:tblPr/>
      <w:tcPr>
        <w:shd w:val="clear" w:color="auto" w:fill="D8E5F7" w:themeFill="accent1" w:themeFillTint="33"/>
      </w:tcPr>
    </w:tblStylePr>
    <w:tblStylePr w:type="band1Horz">
      <w:tblPr/>
      <w:tcPr>
        <w:shd w:val="clear" w:color="auto" w:fill="D8E5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8629F"/>
    <w:pPr>
      <w:spacing w:line="240" w:lineRule="auto"/>
    </w:pPr>
    <w:rPr>
      <w:color w:val="27B7D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D1E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D1E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D1E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D1EA" w:themeColor="accent2"/>
        </w:tcBorders>
        <w:shd w:val="clear" w:color="auto" w:fill="FFFFFF" w:themeFill="background1"/>
      </w:tcPr>
    </w:tblStylePr>
    <w:tblStylePr w:type="band1Vert">
      <w:tblPr/>
      <w:tcPr>
        <w:shd w:val="clear" w:color="auto" w:fill="E3F5FA" w:themeFill="accent2" w:themeFillTint="33"/>
      </w:tcPr>
    </w:tblStylePr>
    <w:tblStylePr w:type="band1Horz">
      <w:tblPr/>
      <w:tcPr>
        <w:shd w:val="clear" w:color="auto" w:fill="E3F5F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8629F"/>
    <w:pPr>
      <w:spacing w:line="240" w:lineRule="auto"/>
    </w:pPr>
    <w:rPr>
      <w:color w:val="3FBFA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D5C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D5C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D5C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D5C5" w:themeColor="accent3"/>
        </w:tcBorders>
        <w:shd w:val="clear" w:color="auto" w:fill="FFFFFF" w:themeFill="background1"/>
      </w:tcPr>
    </w:tblStylePr>
    <w:tblStylePr w:type="band1Vert">
      <w:tblPr/>
      <w:tcPr>
        <w:shd w:val="clear" w:color="auto" w:fill="E5F6F3" w:themeFill="accent3" w:themeFillTint="33"/>
      </w:tcPr>
    </w:tblStylePr>
    <w:tblStylePr w:type="band1Horz">
      <w:tblPr/>
      <w:tcPr>
        <w:shd w:val="clear" w:color="auto" w:fill="E5F6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8629F"/>
    <w:pPr>
      <w:spacing w:line="240" w:lineRule="auto"/>
    </w:pPr>
    <w:rPr>
      <w:color w:val="F8B71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D47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D47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D47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D476" w:themeColor="accent4"/>
        </w:tcBorders>
        <w:shd w:val="clear" w:color="auto" w:fill="FFFFFF" w:themeFill="background1"/>
      </w:tcPr>
    </w:tblStylePr>
    <w:tblStylePr w:type="band1Vert">
      <w:tblPr/>
      <w:tcPr>
        <w:shd w:val="clear" w:color="auto" w:fill="FEF6E3" w:themeFill="accent4" w:themeFillTint="33"/>
      </w:tcPr>
    </w:tblStylePr>
    <w:tblStylePr w:type="band1Horz">
      <w:tblPr/>
      <w:tcPr>
        <w:shd w:val="clear" w:color="auto" w:fill="FEF6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8629F"/>
    <w:pPr>
      <w:spacing w:line="240" w:lineRule="auto"/>
    </w:pPr>
    <w:rPr>
      <w:color w:val="DD5E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A08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A08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A08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A089" w:themeColor="accent5"/>
        </w:tcBorders>
        <w:shd w:val="clear" w:color="auto" w:fill="FFFFFF" w:themeFill="background1"/>
      </w:tcPr>
    </w:tblStylePr>
    <w:tblStylePr w:type="band1Vert">
      <w:tblPr/>
      <w:tcPr>
        <w:shd w:val="clear" w:color="auto" w:fill="FBEBE7" w:themeFill="accent5" w:themeFillTint="33"/>
      </w:tcPr>
    </w:tblStylePr>
    <w:tblStylePr w:type="band1Horz">
      <w:tblPr/>
      <w:tcPr>
        <w:shd w:val="clear" w:color="auto" w:fill="FBEB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8629F"/>
    <w:pPr>
      <w:spacing w:line="240" w:lineRule="auto"/>
    </w:pPr>
    <w:rPr>
      <w:color w:val="0B173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204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204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204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204B" w:themeColor="accent6"/>
        </w:tcBorders>
        <w:shd w:val="clear" w:color="auto" w:fill="FFFFFF" w:themeFill="background1"/>
      </w:tcPr>
    </w:tblStylePr>
    <w:tblStylePr w:type="band1Vert">
      <w:tblPr/>
      <w:tcPr>
        <w:shd w:val="clear" w:color="auto" w:fill="B9C8F1" w:themeFill="accent6" w:themeFillTint="33"/>
      </w:tcPr>
    </w:tblStylePr>
    <w:tblStylePr w:type="band1Horz">
      <w:tblPr/>
      <w:tcPr>
        <w:shd w:val="clear" w:color="auto" w:fill="B9C8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6D9DE4" w:themeColor="accent1" w:themeTint="BF"/>
        <w:left w:val="single" w:sz="8" w:space="0" w:color="6D9DE4" w:themeColor="accent1" w:themeTint="BF"/>
        <w:bottom w:val="single" w:sz="8" w:space="0" w:color="6D9DE4" w:themeColor="accent1" w:themeTint="BF"/>
        <w:right w:val="single" w:sz="8" w:space="0" w:color="6D9DE4" w:themeColor="accent1" w:themeTint="BF"/>
        <w:insideH w:val="single" w:sz="8" w:space="0" w:color="6D9DE4" w:themeColor="accent1" w:themeTint="BF"/>
        <w:insideV w:val="single" w:sz="8" w:space="0" w:color="6D9DE4" w:themeColor="accent1" w:themeTint="BF"/>
      </w:tblBorders>
    </w:tblPr>
    <w:tcPr>
      <w:shd w:val="clear" w:color="auto" w:fill="CEDEF6" w:themeFill="accent1" w:themeFillTint="3F"/>
    </w:tcPr>
    <w:tblStylePr w:type="firstRow">
      <w:rPr>
        <w:b/>
        <w:bCs/>
      </w:rPr>
    </w:tblStylePr>
    <w:tblStylePr w:type="lastRow">
      <w:rPr>
        <w:b/>
        <w:bCs/>
      </w:rPr>
      <w:tblPr/>
      <w:tcPr>
        <w:tcBorders>
          <w:top w:val="single" w:sz="18" w:space="0" w:color="6D9DE4" w:themeColor="accent1" w:themeTint="BF"/>
        </w:tcBorders>
      </w:tcPr>
    </w:tblStylePr>
    <w:tblStylePr w:type="firstCol">
      <w:rPr>
        <w:b/>
        <w:bCs/>
      </w:rPr>
    </w:tblStylePr>
    <w:tblStylePr w:type="lastCol">
      <w:rPr>
        <w:b/>
        <w:bCs/>
      </w:rPr>
    </w:tblStylePr>
    <w:tblStylePr w:type="band1Vert">
      <w:tblPr/>
      <w:tcPr>
        <w:shd w:val="clear" w:color="auto" w:fill="9EBEED" w:themeFill="accent1" w:themeFillTint="7F"/>
      </w:tcPr>
    </w:tblStylePr>
    <w:tblStylePr w:type="band1Horz">
      <w:tblPr/>
      <w:tcPr>
        <w:shd w:val="clear" w:color="auto" w:fill="9EBEED"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96DCEF" w:themeColor="accent2" w:themeTint="BF"/>
        <w:left w:val="single" w:sz="8" w:space="0" w:color="96DCEF" w:themeColor="accent2" w:themeTint="BF"/>
        <w:bottom w:val="single" w:sz="8" w:space="0" w:color="96DCEF" w:themeColor="accent2" w:themeTint="BF"/>
        <w:right w:val="single" w:sz="8" w:space="0" w:color="96DCEF" w:themeColor="accent2" w:themeTint="BF"/>
        <w:insideH w:val="single" w:sz="8" w:space="0" w:color="96DCEF" w:themeColor="accent2" w:themeTint="BF"/>
        <w:insideV w:val="single" w:sz="8" w:space="0" w:color="96DCEF" w:themeColor="accent2" w:themeTint="BF"/>
      </w:tblBorders>
    </w:tblPr>
    <w:tcPr>
      <w:shd w:val="clear" w:color="auto" w:fill="DCF3F9" w:themeFill="accent2" w:themeFillTint="3F"/>
    </w:tcPr>
    <w:tblStylePr w:type="firstRow">
      <w:rPr>
        <w:b/>
        <w:bCs/>
      </w:rPr>
    </w:tblStylePr>
    <w:tblStylePr w:type="lastRow">
      <w:rPr>
        <w:b/>
        <w:bCs/>
      </w:rPr>
      <w:tblPr/>
      <w:tcPr>
        <w:tcBorders>
          <w:top w:val="single" w:sz="18" w:space="0" w:color="96DCEF" w:themeColor="accent2" w:themeTint="BF"/>
        </w:tcBorders>
      </w:tcPr>
    </w:tblStylePr>
    <w:tblStylePr w:type="firstCol">
      <w:rPr>
        <w:b/>
        <w:bCs/>
      </w:rPr>
    </w:tblStylePr>
    <w:tblStylePr w:type="lastCol">
      <w:rPr>
        <w:b/>
        <w:bCs/>
      </w:rPr>
    </w:tblStylePr>
    <w:tblStylePr w:type="band1Vert">
      <w:tblPr/>
      <w:tcPr>
        <w:shd w:val="clear" w:color="auto" w:fill="B9E7F4" w:themeFill="accent2" w:themeFillTint="7F"/>
      </w:tcPr>
    </w:tblStylePr>
    <w:tblStylePr w:type="band1Horz">
      <w:tblPr/>
      <w:tcPr>
        <w:shd w:val="clear" w:color="auto" w:fill="B9E7F4"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9FDFD3" w:themeColor="accent3" w:themeTint="BF"/>
        <w:left w:val="single" w:sz="8" w:space="0" w:color="9FDFD3" w:themeColor="accent3" w:themeTint="BF"/>
        <w:bottom w:val="single" w:sz="8" w:space="0" w:color="9FDFD3" w:themeColor="accent3" w:themeTint="BF"/>
        <w:right w:val="single" w:sz="8" w:space="0" w:color="9FDFD3" w:themeColor="accent3" w:themeTint="BF"/>
        <w:insideH w:val="single" w:sz="8" w:space="0" w:color="9FDFD3" w:themeColor="accent3" w:themeTint="BF"/>
        <w:insideV w:val="single" w:sz="8" w:space="0" w:color="9FDFD3" w:themeColor="accent3" w:themeTint="BF"/>
      </w:tblBorders>
    </w:tblPr>
    <w:tcPr>
      <w:shd w:val="clear" w:color="auto" w:fill="DFF4F0" w:themeFill="accent3" w:themeFillTint="3F"/>
    </w:tcPr>
    <w:tblStylePr w:type="firstRow">
      <w:rPr>
        <w:b/>
        <w:bCs/>
      </w:rPr>
    </w:tblStylePr>
    <w:tblStylePr w:type="lastRow">
      <w:rPr>
        <w:b/>
        <w:bCs/>
      </w:rPr>
      <w:tblPr/>
      <w:tcPr>
        <w:tcBorders>
          <w:top w:val="single" w:sz="18" w:space="0" w:color="9FDFD3" w:themeColor="accent3" w:themeTint="BF"/>
        </w:tcBorders>
      </w:tcPr>
    </w:tblStylePr>
    <w:tblStylePr w:type="firstCol">
      <w:rPr>
        <w:b/>
        <w:bCs/>
      </w:rPr>
    </w:tblStylePr>
    <w:tblStylePr w:type="lastCol">
      <w:rPr>
        <w:b/>
        <w:bCs/>
      </w:rPr>
    </w:tblStylePr>
    <w:tblStylePr w:type="band1Vert">
      <w:tblPr/>
      <w:tcPr>
        <w:shd w:val="clear" w:color="auto" w:fill="BFEAE2" w:themeFill="accent3" w:themeFillTint="7F"/>
      </w:tcPr>
    </w:tblStylePr>
    <w:tblStylePr w:type="band1Horz">
      <w:tblPr/>
      <w:tcPr>
        <w:shd w:val="clear" w:color="auto" w:fill="BFEAE2"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FCDE98" w:themeColor="accent4" w:themeTint="BF"/>
        <w:left w:val="single" w:sz="8" w:space="0" w:color="FCDE98" w:themeColor="accent4" w:themeTint="BF"/>
        <w:bottom w:val="single" w:sz="8" w:space="0" w:color="FCDE98" w:themeColor="accent4" w:themeTint="BF"/>
        <w:right w:val="single" w:sz="8" w:space="0" w:color="FCDE98" w:themeColor="accent4" w:themeTint="BF"/>
        <w:insideH w:val="single" w:sz="8" w:space="0" w:color="FCDE98" w:themeColor="accent4" w:themeTint="BF"/>
        <w:insideV w:val="single" w:sz="8" w:space="0" w:color="FCDE98" w:themeColor="accent4" w:themeTint="BF"/>
      </w:tblBorders>
    </w:tblPr>
    <w:tcPr>
      <w:shd w:val="clear" w:color="auto" w:fill="FEF4DC" w:themeFill="accent4" w:themeFillTint="3F"/>
    </w:tcPr>
    <w:tblStylePr w:type="firstRow">
      <w:rPr>
        <w:b/>
        <w:bCs/>
      </w:rPr>
    </w:tblStylePr>
    <w:tblStylePr w:type="lastRow">
      <w:rPr>
        <w:b/>
        <w:bCs/>
      </w:rPr>
      <w:tblPr/>
      <w:tcPr>
        <w:tcBorders>
          <w:top w:val="single" w:sz="18" w:space="0" w:color="FCDE98" w:themeColor="accent4" w:themeTint="BF"/>
        </w:tcBorders>
      </w:tcPr>
    </w:tblStylePr>
    <w:tblStylePr w:type="firstCol">
      <w:rPr>
        <w:b/>
        <w:bCs/>
      </w:rPr>
    </w:tblStylePr>
    <w:tblStylePr w:type="lastCol">
      <w:rPr>
        <w:b/>
        <w:bCs/>
      </w:rPr>
    </w:tblStylePr>
    <w:tblStylePr w:type="band1Vert">
      <w:tblPr/>
      <w:tcPr>
        <w:shd w:val="clear" w:color="auto" w:fill="FDE9BA" w:themeFill="accent4" w:themeFillTint="7F"/>
      </w:tcPr>
    </w:tblStylePr>
    <w:tblStylePr w:type="band1Horz">
      <w:tblPr/>
      <w:tcPr>
        <w:shd w:val="clear" w:color="auto" w:fill="FDE9BA"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F0B7A6" w:themeColor="accent5" w:themeTint="BF"/>
        <w:left w:val="single" w:sz="8" w:space="0" w:color="F0B7A6" w:themeColor="accent5" w:themeTint="BF"/>
        <w:bottom w:val="single" w:sz="8" w:space="0" w:color="F0B7A6" w:themeColor="accent5" w:themeTint="BF"/>
        <w:right w:val="single" w:sz="8" w:space="0" w:color="F0B7A6" w:themeColor="accent5" w:themeTint="BF"/>
        <w:insideH w:val="single" w:sz="8" w:space="0" w:color="F0B7A6" w:themeColor="accent5" w:themeTint="BF"/>
        <w:insideV w:val="single" w:sz="8" w:space="0" w:color="F0B7A6" w:themeColor="accent5" w:themeTint="BF"/>
      </w:tblBorders>
    </w:tblPr>
    <w:tcPr>
      <w:shd w:val="clear" w:color="auto" w:fill="FAE7E1" w:themeFill="accent5" w:themeFillTint="3F"/>
    </w:tcPr>
    <w:tblStylePr w:type="firstRow">
      <w:rPr>
        <w:b/>
        <w:bCs/>
      </w:rPr>
    </w:tblStylePr>
    <w:tblStylePr w:type="lastRow">
      <w:rPr>
        <w:b/>
        <w:bCs/>
      </w:rPr>
      <w:tblPr/>
      <w:tcPr>
        <w:tcBorders>
          <w:top w:val="single" w:sz="18" w:space="0" w:color="F0B7A6" w:themeColor="accent5" w:themeTint="BF"/>
        </w:tcBorders>
      </w:tcPr>
    </w:tblStylePr>
    <w:tblStylePr w:type="firstCol">
      <w:rPr>
        <w:b/>
        <w:bCs/>
      </w:rPr>
    </w:tblStylePr>
    <w:tblStylePr w:type="lastCol">
      <w:rPr>
        <w:b/>
        <w:bCs/>
      </w:rPr>
    </w:tblStylePr>
    <w:tblStylePr w:type="band1Vert">
      <w:tblPr/>
      <w:tcPr>
        <w:shd w:val="clear" w:color="auto" w:fill="F5CFC4" w:themeFill="accent5" w:themeFillTint="7F"/>
      </w:tcPr>
    </w:tblStylePr>
    <w:tblStylePr w:type="band1Horz">
      <w:tblPr/>
      <w:tcPr>
        <w:shd w:val="clear" w:color="auto" w:fill="F5CFC4"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2045A2" w:themeColor="accent6" w:themeTint="BF"/>
        <w:left w:val="single" w:sz="8" w:space="0" w:color="2045A2" w:themeColor="accent6" w:themeTint="BF"/>
        <w:bottom w:val="single" w:sz="8" w:space="0" w:color="2045A2" w:themeColor="accent6" w:themeTint="BF"/>
        <w:right w:val="single" w:sz="8" w:space="0" w:color="2045A2" w:themeColor="accent6" w:themeTint="BF"/>
        <w:insideH w:val="single" w:sz="8" w:space="0" w:color="2045A2" w:themeColor="accent6" w:themeTint="BF"/>
        <w:insideV w:val="single" w:sz="8" w:space="0" w:color="2045A2" w:themeColor="accent6" w:themeTint="BF"/>
      </w:tblBorders>
    </w:tblPr>
    <w:tcPr>
      <w:shd w:val="clear" w:color="auto" w:fill="A8BBED" w:themeFill="accent6" w:themeFillTint="3F"/>
    </w:tcPr>
    <w:tblStylePr w:type="firstRow">
      <w:rPr>
        <w:b/>
        <w:bCs/>
      </w:rPr>
    </w:tblStylePr>
    <w:tblStylePr w:type="lastRow">
      <w:rPr>
        <w:b/>
        <w:bCs/>
      </w:rPr>
      <w:tblPr/>
      <w:tcPr>
        <w:tcBorders>
          <w:top w:val="single" w:sz="18" w:space="0" w:color="2045A2" w:themeColor="accent6" w:themeTint="BF"/>
        </w:tcBorders>
      </w:tcPr>
    </w:tblStylePr>
    <w:tblStylePr w:type="firstCol">
      <w:rPr>
        <w:b/>
        <w:bCs/>
      </w:rPr>
    </w:tblStylePr>
    <w:tblStylePr w:type="lastCol">
      <w:rPr>
        <w:b/>
        <w:bCs/>
      </w:rPr>
    </w:tblStylePr>
    <w:tblStylePr w:type="band1Vert">
      <w:tblPr/>
      <w:tcPr>
        <w:shd w:val="clear" w:color="auto" w:fill="5077DC" w:themeFill="accent6" w:themeFillTint="7F"/>
      </w:tcPr>
    </w:tblStylePr>
    <w:tblStylePr w:type="band1Horz">
      <w:tblPr/>
      <w:tcPr>
        <w:shd w:val="clear" w:color="auto" w:fill="5077DC"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D7EDB" w:themeColor="accent1"/>
        <w:left w:val="single" w:sz="8" w:space="0" w:color="3D7EDB" w:themeColor="accent1"/>
        <w:bottom w:val="single" w:sz="8" w:space="0" w:color="3D7EDB" w:themeColor="accent1"/>
        <w:right w:val="single" w:sz="8" w:space="0" w:color="3D7EDB" w:themeColor="accent1"/>
        <w:insideH w:val="single" w:sz="8" w:space="0" w:color="3D7EDB" w:themeColor="accent1"/>
        <w:insideV w:val="single" w:sz="8" w:space="0" w:color="3D7EDB" w:themeColor="accent1"/>
      </w:tblBorders>
    </w:tblPr>
    <w:tcPr>
      <w:shd w:val="clear" w:color="auto" w:fill="CEDEF6" w:themeFill="accent1" w:themeFillTint="3F"/>
    </w:tcPr>
    <w:tblStylePr w:type="firstRow">
      <w:rPr>
        <w:b/>
        <w:bCs/>
        <w:color w:val="000000" w:themeColor="text1"/>
      </w:rPr>
      <w:tblPr/>
      <w:tcPr>
        <w:shd w:val="clear" w:color="auto" w:fill="EBF2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5F7" w:themeFill="accent1" w:themeFillTint="33"/>
      </w:tcPr>
    </w:tblStylePr>
    <w:tblStylePr w:type="band1Vert">
      <w:tblPr/>
      <w:tcPr>
        <w:shd w:val="clear" w:color="auto" w:fill="9EBEED" w:themeFill="accent1" w:themeFillTint="7F"/>
      </w:tcPr>
    </w:tblStylePr>
    <w:tblStylePr w:type="band1Horz">
      <w:tblPr/>
      <w:tcPr>
        <w:tcBorders>
          <w:insideH w:val="single" w:sz="6" w:space="0" w:color="3D7EDB" w:themeColor="accent1"/>
          <w:insideV w:val="single" w:sz="6" w:space="0" w:color="3D7EDB" w:themeColor="accent1"/>
        </w:tcBorders>
        <w:shd w:val="clear" w:color="auto" w:fill="9EBEE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4D1EA" w:themeColor="accent2"/>
        <w:left w:val="single" w:sz="8" w:space="0" w:color="74D1EA" w:themeColor="accent2"/>
        <w:bottom w:val="single" w:sz="8" w:space="0" w:color="74D1EA" w:themeColor="accent2"/>
        <w:right w:val="single" w:sz="8" w:space="0" w:color="74D1EA" w:themeColor="accent2"/>
        <w:insideH w:val="single" w:sz="8" w:space="0" w:color="74D1EA" w:themeColor="accent2"/>
        <w:insideV w:val="single" w:sz="8" w:space="0" w:color="74D1EA" w:themeColor="accent2"/>
      </w:tblBorders>
    </w:tblPr>
    <w:tcPr>
      <w:shd w:val="clear" w:color="auto" w:fill="DCF3F9" w:themeFill="accent2" w:themeFillTint="3F"/>
    </w:tcPr>
    <w:tblStylePr w:type="firstRow">
      <w:rPr>
        <w:b/>
        <w:bCs/>
        <w:color w:val="000000" w:themeColor="text1"/>
      </w:rPr>
      <w:tblPr/>
      <w:tcPr>
        <w:shd w:val="clear" w:color="auto" w:fill="F1FA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5FA" w:themeFill="accent2" w:themeFillTint="33"/>
      </w:tcPr>
    </w:tblStylePr>
    <w:tblStylePr w:type="band1Vert">
      <w:tblPr/>
      <w:tcPr>
        <w:shd w:val="clear" w:color="auto" w:fill="B9E7F4" w:themeFill="accent2" w:themeFillTint="7F"/>
      </w:tcPr>
    </w:tblStylePr>
    <w:tblStylePr w:type="band1Horz">
      <w:tblPr/>
      <w:tcPr>
        <w:tcBorders>
          <w:insideH w:val="single" w:sz="6" w:space="0" w:color="74D1EA" w:themeColor="accent2"/>
          <w:insideV w:val="single" w:sz="6" w:space="0" w:color="74D1EA" w:themeColor="accent2"/>
        </w:tcBorders>
        <w:shd w:val="clear" w:color="auto" w:fill="B9E7F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FD5C5" w:themeColor="accent3"/>
        <w:left w:val="single" w:sz="8" w:space="0" w:color="7FD5C5" w:themeColor="accent3"/>
        <w:bottom w:val="single" w:sz="8" w:space="0" w:color="7FD5C5" w:themeColor="accent3"/>
        <w:right w:val="single" w:sz="8" w:space="0" w:color="7FD5C5" w:themeColor="accent3"/>
        <w:insideH w:val="single" w:sz="8" w:space="0" w:color="7FD5C5" w:themeColor="accent3"/>
        <w:insideV w:val="single" w:sz="8" w:space="0" w:color="7FD5C5" w:themeColor="accent3"/>
      </w:tblBorders>
    </w:tblPr>
    <w:tcPr>
      <w:shd w:val="clear" w:color="auto" w:fill="DFF4F0" w:themeFill="accent3" w:themeFillTint="3F"/>
    </w:tcPr>
    <w:tblStylePr w:type="firstRow">
      <w:rPr>
        <w:b/>
        <w:bCs/>
        <w:color w:val="000000" w:themeColor="text1"/>
      </w:rPr>
      <w:tblPr/>
      <w:tcPr>
        <w:shd w:val="clear" w:color="auto" w:fill="F2FB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6F3" w:themeFill="accent3" w:themeFillTint="33"/>
      </w:tcPr>
    </w:tblStylePr>
    <w:tblStylePr w:type="band1Vert">
      <w:tblPr/>
      <w:tcPr>
        <w:shd w:val="clear" w:color="auto" w:fill="BFEAE2" w:themeFill="accent3" w:themeFillTint="7F"/>
      </w:tcPr>
    </w:tblStylePr>
    <w:tblStylePr w:type="band1Horz">
      <w:tblPr/>
      <w:tcPr>
        <w:tcBorders>
          <w:insideH w:val="single" w:sz="6" w:space="0" w:color="7FD5C5" w:themeColor="accent3"/>
          <w:insideV w:val="single" w:sz="6" w:space="0" w:color="7FD5C5" w:themeColor="accent3"/>
        </w:tcBorders>
        <w:shd w:val="clear" w:color="auto" w:fill="BFEAE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BD476" w:themeColor="accent4"/>
        <w:left w:val="single" w:sz="8" w:space="0" w:color="FBD476" w:themeColor="accent4"/>
        <w:bottom w:val="single" w:sz="8" w:space="0" w:color="FBD476" w:themeColor="accent4"/>
        <w:right w:val="single" w:sz="8" w:space="0" w:color="FBD476" w:themeColor="accent4"/>
        <w:insideH w:val="single" w:sz="8" w:space="0" w:color="FBD476" w:themeColor="accent4"/>
        <w:insideV w:val="single" w:sz="8" w:space="0" w:color="FBD476" w:themeColor="accent4"/>
      </w:tblBorders>
    </w:tblPr>
    <w:tcPr>
      <w:shd w:val="clear" w:color="auto" w:fill="FEF4DC" w:themeFill="accent4" w:themeFillTint="3F"/>
    </w:tcPr>
    <w:tblStylePr w:type="firstRow">
      <w:rPr>
        <w:b/>
        <w:bCs/>
        <w:color w:val="000000" w:themeColor="text1"/>
      </w:rPr>
      <w:tblPr/>
      <w:tcPr>
        <w:shd w:val="clear" w:color="auto" w:fill="FEFA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6E3" w:themeFill="accent4" w:themeFillTint="33"/>
      </w:tcPr>
    </w:tblStylePr>
    <w:tblStylePr w:type="band1Vert">
      <w:tblPr/>
      <w:tcPr>
        <w:shd w:val="clear" w:color="auto" w:fill="FDE9BA" w:themeFill="accent4" w:themeFillTint="7F"/>
      </w:tcPr>
    </w:tblStylePr>
    <w:tblStylePr w:type="band1Horz">
      <w:tblPr/>
      <w:tcPr>
        <w:tcBorders>
          <w:insideH w:val="single" w:sz="6" w:space="0" w:color="FBD476" w:themeColor="accent4"/>
          <w:insideV w:val="single" w:sz="6" w:space="0" w:color="FBD476" w:themeColor="accent4"/>
        </w:tcBorders>
        <w:shd w:val="clear" w:color="auto" w:fill="FDE9B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EBA089" w:themeColor="accent5"/>
        <w:left w:val="single" w:sz="8" w:space="0" w:color="EBA089" w:themeColor="accent5"/>
        <w:bottom w:val="single" w:sz="8" w:space="0" w:color="EBA089" w:themeColor="accent5"/>
        <w:right w:val="single" w:sz="8" w:space="0" w:color="EBA089" w:themeColor="accent5"/>
        <w:insideH w:val="single" w:sz="8" w:space="0" w:color="EBA089" w:themeColor="accent5"/>
        <w:insideV w:val="single" w:sz="8" w:space="0" w:color="EBA089" w:themeColor="accent5"/>
      </w:tblBorders>
    </w:tblPr>
    <w:tcPr>
      <w:shd w:val="clear" w:color="auto" w:fill="FAE7E1" w:themeFill="accent5" w:themeFillTint="3F"/>
    </w:tcPr>
    <w:tblStylePr w:type="firstRow">
      <w:rPr>
        <w:b/>
        <w:bCs/>
        <w:color w:val="000000" w:themeColor="text1"/>
      </w:rPr>
      <w:tblPr/>
      <w:tcPr>
        <w:shd w:val="clear" w:color="auto" w:fill="FDF5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BE7" w:themeFill="accent5" w:themeFillTint="33"/>
      </w:tcPr>
    </w:tblStylePr>
    <w:tblStylePr w:type="band1Vert">
      <w:tblPr/>
      <w:tcPr>
        <w:shd w:val="clear" w:color="auto" w:fill="F5CFC4" w:themeFill="accent5" w:themeFillTint="7F"/>
      </w:tcPr>
    </w:tblStylePr>
    <w:tblStylePr w:type="band1Horz">
      <w:tblPr/>
      <w:tcPr>
        <w:tcBorders>
          <w:insideH w:val="single" w:sz="6" w:space="0" w:color="EBA089" w:themeColor="accent5"/>
          <w:insideV w:val="single" w:sz="6" w:space="0" w:color="EBA089" w:themeColor="accent5"/>
        </w:tcBorders>
        <w:shd w:val="clear" w:color="auto" w:fill="F5CF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F204B" w:themeColor="accent6"/>
        <w:left w:val="single" w:sz="8" w:space="0" w:color="0F204B" w:themeColor="accent6"/>
        <w:bottom w:val="single" w:sz="8" w:space="0" w:color="0F204B" w:themeColor="accent6"/>
        <w:right w:val="single" w:sz="8" w:space="0" w:color="0F204B" w:themeColor="accent6"/>
        <w:insideH w:val="single" w:sz="8" w:space="0" w:color="0F204B" w:themeColor="accent6"/>
        <w:insideV w:val="single" w:sz="8" w:space="0" w:color="0F204B" w:themeColor="accent6"/>
      </w:tblBorders>
    </w:tblPr>
    <w:tcPr>
      <w:shd w:val="clear" w:color="auto" w:fill="A8BBED" w:themeFill="accent6" w:themeFillTint="3F"/>
    </w:tcPr>
    <w:tblStylePr w:type="firstRow">
      <w:rPr>
        <w:b/>
        <w:bCs/>
        <w:color w:val="000000" w:themeColor="text1"/>
      </w:rPr>
      <w:tblPr/>
      <w:tcPr>
        <w:shd w:val="clear" w:color="auto" w:fill="DCE4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C8F1" w:themeFill="accent6" w:themeFillTint="33"/>
      </w:tcPr>
    </w:tblStylePr>
    <w:tblStylePr w:type="band1Vert">
      <w:tblPr/>
      <w:tcPr>
        <w:shd w:val="clear" w:color="auto" w:fill="5077DC" w:themeFill="accent6" w:themeFillTint="7F"/>
      </w:tcPr>
    </w:tblStylePr>
    <w:tblStylePr w:type="band1Horz">
      <w:tblPr/>
      <w:tcPr>
        <w:tcBorders>
          <w:insideH w:val="single" w:sz="6" w:space="0" w:color="0F204B" w:themeColor="accent6"/>
          <w:insideV w:val="single" w:sz="6" w:space="0" w:color="0F204B" w:themeColor="accent6"/>
        </w:tcBorders>
        <w:shd w:val="clear" w:color="auto" w:fill="5077D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7ED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7ED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7ED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7ED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EE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EED"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3F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D1E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D1E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D1E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D1E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7F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7F4"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F4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D5C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D5C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D5C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D5C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EAE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EAE2"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4D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D47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D47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D47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D47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9B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9BA"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7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A08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A08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A08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A08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C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CFC4"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BB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204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204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204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204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77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77DC"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F20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3D7EDB" w:themeColor="accent1"/>
        <w:bottom w:val="single" w:sz="8" w:space="0" w:color="3D7EDB" w:themeColor="accent1"/>
      </w:tblBorders>
    </w:tblPr>
    <w:tblStylePr w:type="firstRow">
      <w:rPr>
        <w:rFonts w:asciiTheme="majorHAnsi" w:eastAsiaTheme="majorEastAsia" w:hAnsiTheme="majorHAnsi" w:cstheme="majorBidi"/>
      </w:rPr>
      <w:tblPr/>
      <w:tcPr>
        <w:tcBorders>
          <w:top w:val="nil"/>
          <w:bottom w:val="single" w:sz="8" w:space="0" w:color="3D7EDB" w:themeColor="accent1"/>
        </w:tcBorders>
      </w:tcPr>
    </w:tblStylePr>
    <w:tblStylePr w:type="lastRow">
      <w:rPr>
        <w:b/>
        <w:bCs/>
        <w:color w:val="0F204B" w:themeColor="text2"/>
      </w:rPr>
      <w:tblPr/>
      <w:tcPr>
        <w:tcBorders>
          <w:top w:val="single" w:sz="8" w:space="0" w:color="3D7EDB" w:themeColor="accent1"/>
          <w:bottom w:val="single" w:sz="8" w:space="0" w:color="3D7EDB" w:themeColor="accent1"/>
        </w:tcBorders>
      </w:tcPr>
    </w:tblStylePr>
    <w:tblStylePr w:type="firstCol">
      <w:rPr>
        <w:b/>
        <w:bCs/>
      </w:rPr>
    </w:tblStylePr>
    <w:tblStylePr w:type="lastCol">
      <w:rPr>
        <w:b/>
        <w:bCs/>
      </w:rPr>
      <w:tblPr/>
      <w:tcPr>
        <w:tcBorders>
          <w:top w:val="single" w:sz="8" w:space="0" w:color="3D7EDB" w:themeColor="accent1"/>
          <w:bottom w:val="single" w:sz="8" w:space="0" w:color="3D7EDB" w:themeColor="accent1"/>
        </w:tcBorders>
      </w:tcPr>
    </w:tblStylePr>
    <w:tblStylePr w:type="band1Vert">
      <w:tblPr/>
      <w:tcPr>
        <w:shd w:val="clear" w:color="auto" w:fill="CEDEF6" w:themeFill="accent1" w:themeFillTint="3F"/>
      </w:tcPr>
    </w:tblStylePr>
    <w:tblStylePr w:type="band1Horz">
      <w:tblPr/>
      <w:tcPr>
        <w:shd w:val="clear" w:color="auto" w:fill="CEDEF6"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74D1EA" w:themeColor="accent2"/>
        <w:bottom w:val="single" w:sz="8" w:space="0" w:color="74D1EA" w:themeColor="accent2"/>
      </w:tblBorders>
    </w:tblPr>
    <w:tblStylePr w:type="firstRow">
      <w:rPr>
        <w:rFonts w:asciiTheme="majorHAnsi" w:eastAsiaTheme="majorEastAsia" w:hAnsiTheme="majorHAnsi" w:cstheme="majorBidi"/>
      </w:rPr>
      <w:tblPr/>
      <w:tcPr>
        <w:tcBorders>
          <w:top w:val="nil"/>
          <w:bottom w:val="single" w:sz="8" w:space="0" w:color="74D1EA" w:themeColor="accent2"/>
        </w:tcBorders>
      </w:tcPr>
    </w:tblStylePr>
    <w:tblStylePr w:type="lastRow">
      <w:rPr>
        <w:b/>
        <w:bCs/>
        <w:color w:val="0F204B" w:themeColor="text2"/>
      </w:rPr>
      <w:tblPr/>
      <w:tcPr>
        <w:tcBorders>
          <w:top w:val="single" w:sz="8" w:space="0" w:color="74D1EA" w:themeColor="accent2"/>
          <w:bottom w:val="single" w:sz="8" w:space="0" w:color="74D1EA" w:themeColor="accent2"/>
        </w:tcBorders>
      </w:tcPr>
    </w:tblStylePr>
    <w:tblStylePr w:type="firstCol">
      <w:rPr>
        <w:b/>
        <w:bCs/>
      </w:rPr>
    </w:tblStylePr>
    <w:tblStylePr w:type="lastCol">
      <w:rPr>
        <w:b/>
        <w:bCs/>
      </w:rPr>
      <w:tblPr/>
      <w:tcPr>
        <w:tcBorders>
          <w:top w:val="single" w:sz="8" w:space="0" w:color="74D1EA" w:themeColor="accent2"/>
          <w:bottom w:val="single" w:sz="8" w:space="0" w:color="74D1EA" w:themeColor="accent2"/>
        </w:tcBorders>
      </w:tcPr>
    </w:tblStylePr>
    <w:tblStylePr w:type="band1Vert">
      <w:tblPr/>
      <w:tcPr>
        <w:shd w:val="clear" w:color="auto" w:fill="DCF3F9" w:themeFill="accent2" w:themeFillTint="3F"/>
      </w:tcPr>
    </w:tblStylePr>
    <w:tblStylePr w:type="band1Horz">
      <w:tblPr/>
      <w:tcPr>
        <w:shd w:val="clear" w:color="auto" w:fill="DCF3F9"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7FD5C5" w:themeColor="accent3"/>
        <w:bottom w:val="single" w:sz="8" w:space="0" w:color="7FD5C5" w:themeColor="accent3"/>
      </w:tblBorders>
    </w:tblPr>
    <w:tblStylePr w:type="firstRow">
      <w:rPr>
        <w:rFonts w:asciiTheme="majorHAnsi" w:eastAsiaTheme="majorEastAsia" w:hAnsiTheme="majorHAnsi" w:cstheme="majorBidi"/>
      </w:rPr>
      <w:tblPr/>
      <w:tcPr>
        <w:tcBorders>
          <w:top w:val="nil"/>
          <w:bottom w:val="single" w:sz="8" w:space="0" w:color="7FD5C5" w:themeColor="accent3"/>
        </w:tcBorders>
      </w:tcPr>
    </w:tblStylePr>
    <w:tblStylePr w:type="lastRow">
      <w:rPr>
        <w:b/>
        <w:bCs/>
        <w:color w:val="0F204B" w:themeColor="text2"/>
      </w:rPr>
      <w:tblPr/>
      <w:tcPr>
        <w:tcBorders>
          <w:top w:val="single" w:sz="8" w:space="0" w:color="7FD5C5" w:themeColor="accent3"/>
          <w:bottom w:val="single" w:sz="8" w:space="0" w:color="7FD5C5" w:themeColor="accent3"/>
        </w:tcBorders>
      </w:tcPr>
    </w:tblStylePr>
    <w:tblStylePr w:type="firstCol">
      <w:rPr>
        <w:b/>
        <w:bCs/>
      </w:rPr>
    </w:tblStylePr>
    <w:tblStylePr w:type="lastCol">
      <w:rPr>
        <w:b/>
        <w:bCs/>
      </w:rPr>
      <w:tblPr/>
      <w:tcPr>
        <w:tcBorders>
          <w:top w:val="single" w:sz="8" w:space="0" w:color="7FD5C5" w:themeColor="accent3"/>
          <w:bottom w:val="single" w:sz="8" w:space="0" w:color="7FD5C5" w:themeColor="accent3"/>
        </w:tcBorders>
      </w:tcPr>
    </w:tblStylePr>
    <w:tblStylePr w:type="band1Vert">
      <w:tblPr/>
      <w:tcPr>
        <w:shd w:val="clear" w:color="auto" w:fill="DFF4F0" w:themeFill="accent3" w:themeFillTint="3F"/>
      </w:tcPr>
    </w:tblStylePr>
    <w:tblStylePr w:type="band1Horz">
      <w:tblPr/>
      <w:tcPr>
        <w:shd w:val="clear" w:color="auto" w:fill="DFF4F0"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FBD476" w:themeColor="accent4"/>
        <w:bottom w:val="single" w:sz="8" w:space="0" w:color="FBD476" w:themeColor="accent4"/>
      </w:tblBorders>
    </w:tblPr>
    <w:tblStylePr w:type="firstRow">
      <w:rPr>
        <w:rFonts w:asciiTheme="majorHAnsi" w:eastAsiaTheme="majorEastAsia" w:hAnsiTheme="majorHAnsi" w:cstheme="majorBidi"/>
      </w:rPr>
      <w:tblPr/>
      <w:tcPr>
        <w:tcBorders>
          <w:top w:val="nil"/>
          <w:bottom w:val="single" w:sz="8" w:space="0" w:color="FBD476" w:themeColor="accent4"/>
        </w:tcBorders>
      </w:tcPr>
    </w:tblStylePr>
    <w:tblStylePr w:type="lastRow">
      <w:rPr>
        <w:b/>
        <w:bCs/>
        <w:color w:val="0F204B" w:themeColor="text2"/>
      </w:rPr>
      <w:tblPr/>
      <w:tcPr>
        <w:tcBorders>
          <w:top w:val="single" w:sz="8" w:space="0" w:color="FBD476" w:themeColor="accent4"/>
          <w:bottom w:val="single" w:sz="8" w:space="0" w:color="FBD476" w:themeColor="accent4"/>
        </w:tcBorders>
      </w:tcPr>
    </w:tblStylePr>
    <w:tblStylePr w:type="firstCol">
      <w:rPr>
        <w:b/>
        <w:bCs/>
      </w:rPr>
    </w:tblStylePr>
    <w:tblStylePr w:type="lastCol">
      <w:rPr>
        <w:b/>
        <w:bCs/>
      </w:rPr>
      <w:tblPr/>
      <w:tcPr>
        <w:tcBorders>
          <w:top w:val="single" w:sz="8" w:space="0" w:color="FBD476" w:themeColor="accent4"/>
          <w:bottom w:val="single" w:sz="8" w:space="0" w:color="FBD476" w:themeColor="accent4"/>
        </w:tcBorders>
      </w:tcPr>
    </w:tblStylePr>
    <w:tblStylePr w:type="band1Vert">
      <w:tblPr/>
      <w:tcPr>
        <w:shd w:val="clear" w:color="auto" w:fill="FEF4DC" w:themeFill="accent4" w:themeFillTint="3F"/>
      </w:tcPr>
    </w:tblStylePr>
    <w:tblStylePr w:type="band1Horz">
      <w:tblPr/>
      <w:tcPr>
        <w:shd w:val="clear" w:color="auto" w:fill="FEF4DC"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EBA089" w:themeColor="accent5"/>
        <w:bottom w:val="single" w:sz="8" w:space="0" w:color="EBA089" w:themeColor="accent5"/>
      </w:tblBorders>
    </w:tblPr>
    <w:tblStylePr w:type="firstRow">
      <w:rPr>
        <w:rFonts w:asciiTheme="majorHAnsi" w:eastAsiaTheme="majorEastAsia" w:hAnsiTheme="majorHAnsi" w:cstheme="majorBidi"/>
      </w:rPr>
      <w:tblPr/>
      <w:tcPr>
        <w:tcBorders>
          <w:top w:val="nil"/>
          <w:bottom w:val="single" w:sz="8" w:space="0" w:color="EBA089" w:themeColor="accent5"/>
        </w:tcBorders>
      </w:tcPr>
    </w:tblStylePr>
    <w:tblStylePr w:type="lastRow">
      <w:rPr>
        <w:b/>
        <w:bCs/>
        <w:color w:val="0F204B" w:themeColor="text2"/>
      </w:rPr>
      <w:tblPr/>
      <w:tcPr>
        <w:tcBorders>
          <w:top w:val="single" w:sz="8" w:space="0" w:color="EBA089" w:themeColor="accent5"/>
          <w:bottom w:val="single" w:sz="8" w:space="0" w:color="EBA089" w:themeColor="accent5"/>
        </w:tcBorders>
      </w:tcPr>
    </w:tblStylePr>
    <w:tblStylePr w:type="firstCol">
      <w:rPr>
        <w:b/>
        <w:bCs/>
      </w:rPr>
    </w:tblStylePr>
    <w:tblStylePr w:type="lastCol">
      <w:rPr>
        <w:b/>
        <w:bCs/>
      </w:rPr>
      <w:tblPr/>
      <w:tcPr>
        <w:tcBorders>
          <w:top w:val="single" w:sz="8" w:space="0" w:color="EBA089" w:themeColor="accent5"/>
          <w:bottom w:val="single" w:sz="8" w:space="0" w:color="EBA089" w:themeColor="accent5"/>
        </w:tcBorders>
      </w:tcPr>
    </w:tblStylePr>
    <w:tblStylePr w:type="band1Vert">
      <w:tblPr/>
      <w:tcPr>
        <w:shd w:val="clear" w:color="auto" w:fill="FAE7E1" w:themeFill="accent5" w:themeFillTint="3F"/>
      </w:tcPr>
    </w:tblStylePr>
    <w:tblStylePr w:type="band1Horz">
      <w:tblPr/>
      <w:tcPr>
        <w:shd w:val="clear" w:color="auto" w:fill="FAE7E1"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0F204B" w:themeColor="accent6"/>
        <w:bottom w:val="single" w:sz="8" w:space="0" w:color="0F204B" w:themeColor="accent6"/>
      </w:tblBorders>
    </w:tblPr>
    <w:tblStylePr w:type="firstRow">
      <w:rPr>
        <w:rFonts w:asciiTheme="majorHAnsi" w:eastAsiaTheme="majorEastAsia" w:hAnsiTheme="majorHAnsi" w:cstheme="majorBidi"/>
      </w:rPr>
      <w:tblPr/>
      <w:tcPr>
        <w:tcBorders>
          <w:top w:val="nil"/>
          <w:bottom w:val="single" w:sz="8" w:space="0" w:color="0F204B" w:themeColor="accent6"/>
        </w:tcBorders>
      </w:tcPr>
    </w:tblStylePr>
    <w:tblStylePr w:type="lastRow">
      <w:rPr>
        <w:b/>
        <w:bCs/>
        <w:color w:val="0F204B" w:themeColor="text2"/>
      </w:rPr>
      <w:tblPr/>
      <w:tcPr>
        <w:tcBorders>
          <w:top w:val="single" w:sz="8" w:space="0" w:color="0F204B" w:themeColor="accent6"/>
          <w:bottom w:val="single" w:sz="8" w:space="0" w:color="0F204B" w:themeColor="accent6"/>
        </w:tcBorders>
      </w:tcPr>
    </w:tblStylePr>
    <w:tblStylePr w:type="firstCol">
      <w:rPr>
        <w:b/>
        <w:bCs/>
      </w:rPr>
    </w:tblStylePr>
    <w:tblStylePr w:type="lastCol">
      <w:rPr>
        <w:b/>
        <w:bCs/>
      </w:rPr>
      <w:tblPr/>
      <w:tcPr>
        <w:tcBorders>
          <w:top w:val="single" w:sz="8" w:space="0" w:color="0F204B" w:themeColor="accent6"/>
          <w:bottom w:val="single" w:sz="8" w:space="0" w:color="0F204B" w:themeColor="accent6"/>
        </w:tcBorders>
      </w:tcPr>
    </w:tblStylePr>
    <w:tblStylePr w:type="band1Vert">
      <w:tblPr/>
      <w:tcPr>
        <w:shd w:val="clear" w:color="auto" w:fill="A8BBED" w:themeFill="accent6" w:themeFillTint="3F"/>
      </w:tcPr>
    </w:tblStylePr>
    <w:tblStylePr w:type="band1Horz">
      <w:tblPr/>
      <w:tcPr>
        <w:shd w:val="clear" w:color="auto" w:fill="A8BBED"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D7EDB" w:themeColor="accent1"/>
        <w:left w:val="single" w:sz="8" w:space="0" w:color="3D7EDB" w:themeColor="accent1"/>
        <w:bottom w:val="single" w:sz="8" w:space="0" w:color="3D7EDB" w:themeColor="accent1"/>
        <w:right w:val="single" w:sz="8" w:space="0" w:color="3D7EDB" w:themeColor="accent1"/>
      </w:tblBorders>
    </w:tblPr>
    <w:tblStylePr w:type="firstRow">
      <w:rPr>
        <w:sz w:val="24"/>
        <w:szCs w:val="24"/>
      </w:rPr>
      <w:tblPr/>
      <w:tcPr>
        <w:tcBorders>
          <w:top w:val="nil"/>
          <w:left w:val="nil"/>
          <w:bottom w:val="single" w:sz="24" w:space="0" w:color="3D7EDB" w:themeColor="accent1"/>
          <w:right w:val="nil"/>
          <w:insideH w:val="nil"/>
          <w:insideV w:val="nil"/>
        </w:tcBorders>
        <w:shd w:val="clear" w:color="auto" w:fill="FFFFFF" w:themeFill="background1"/>
      </w:tcPr>
    </w:tblStylePr>
    <w:tblStylePr w:type="lastRow">
      <w:tblPr/>
      <w:tcPr>
        <w:tcBorders>
          <w:top w:val="single" w:sz="8" w:space="0" w:color="3D7ED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7EDB" w:themeColor="accent1"/>
          <w:insideH w:val="nil"/>
          <w:insideV w:val="nil"/>
        </w:tcBorders>
        <w:shd w:val="clear" w:color="auto" w:fill="FFFFFF" w:themeFill="background1"/>
      </w:tcPr>
    </w:tblStylePr>
    <w:tblStylePr w:type="lastCol">
      <w:tblPr/>
      <w:tcPr>
        <w:tcBorders>
          <w:top w:val="nil"/>
          <w:left w:val="single" w:sz="8" w:space="0" w:color="3D7ED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EF6" w:themeFill="accent1" w:themeFillTint="3F"/>
      </w:tcPr>
    </w:tblStylePr>
    <w:tblStylePr w:type="band1Horz">
      <w:tblPr/>
      <w:tcPr>
        <w:tcBorders>
          <w:top w:val="nil"/>
          <w:bottom w:val="nil"/>
          <w:insideH w:val="nil"/>
          <w:insideV w:val="nil"/>
        </w:tcBorders>
        <w:shd w:val="clear" w:color="auto" w:fill="CEDE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4D1EA" w:themeColor="accent2"/>
        <w:left w:val="single" w:sz="8" w:space="0" w:color="74D1EA" w:themeColor="accent2"/>
        <w:bottom w:val="single" w:sz="8" w:space="0" w:color="74D1EA" w:themeColor="accent2"/>
        <w:right w:val="single" w:sz="8" w:space="0" w:color="74D1EA" w:themeColor="accent2"/>
      </w:tblBorders>
    </w:tblPr>
    <w:tblStylePr w:type="firstRow">
      <w:rPr>
        <w:sz w:val="24"/>
        <w:szCs w:val="24"/>
      </w:rPr>
      <w:tblPr/>
      <w:tcPr>
        <w:tcBorders>
          <w:top w:val="nil"/>
          <w:left w:val="nil"/>
          <w:bottom w:val="single" w:sz="24" w:space="0" w:color="74D1EA" w:themeColor="accent2"/>
          <w:right w:val="nil"/>
          <w:insideH w:val="nil"/>
          <w:insideV w:val="nil"/>
        </w:tcBorders>
        <w:shd w:val="clear" w:color="auto" w:fill="FFFFFF" w:themeFill="background1"/>
      </w:tcPr>
    </w:tblStylePr>
    <w:tblStylePr w:type="lastRow">
      <w:tblPr/>
      <w:tcPr>
        <w:tcBorders>
          <w:top w:val="single" w:sz="8" w:space="0" w:color="74D1E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D1EA" w:themeColor="accent2"/>
          <w:insideH w:val="nil"/>
          <w:insideV w:val="nil"/>
        </w:tcBorders>
        <w:shd w:val="clear" w:color="auto" w:fill="FFFFFF" w:themeFill="background1"/>
      </w:tcPr>
    </w:tblStylePr>
    <w:tblStylePr w:type="lastCol">
      <w:tblPr/>
      <w:tcPr>
        <w:tcBorders>
          <w:top w:val="nil"/>
          <w:left w:val="single" w:sz="8" w:space="0" w:color="74D1E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3F9" w:themeFill="accent2" w:themeFillTint="3F"/>
      </w:tcPr>
    </w:tblStylePr>
    <w:tblStylePr w:type="band1Horz">
      <w:tblPr/>
      <w:tcPr>
        <w:tcBorders>
          <w:top w:val="nil"/>
          <w:bottom w:val="nil"/>
          <w:insideH w:val="nil"/>
          <w:insideV w:val="nil"/>
        </w:tcBorders>
        <w:shd w:val="clear" w:color="auto" w:fill="DCF3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FD5C5" w:themeColor="accent3"/>
        <w:left w:val="single" w:sz="8" w:space="0" w:color="7FD5C5" w:themeColor="accent3"/>
        <w:bottom w:val="single" w:sz="8" w:space="0" w:color="7FD5C5" w:themeColor="accent3"/>
        <w:right w:val="single" w:sz="8" w:space="0" w:color="7FD5C5" w:themeColor="accent3"/>
      </w:tblBorders>
    </w:tblPr>
    <w:tblStylePr w:type="firstRow">
      <w:rPr>
        <w:sz w:val="24"/>
        <w:szCs w:val="24"/>
      </w:rPr>
      <w:tblPr/>
      <w:tcPr>
        <w:tcBorders>
          <w:top w:val="nil"/>
          <w:left w:val="nil"/>
          <w:bottom w:val="single" w:sz="24" w:space="0" w:color="7FD5C5" w:themeColor="accent3"/>
          <w:right w:val="nil"/>
          <w:insideH w:val="nil"/>
          <w:insideV w:val="nil"/>
        </w:tcBorders>
        <w:shd w:val="clear" w:color="auto" w:fill="FFFFFF" w:themeFill="background1"/>
      </w:tcPr>
    </w:tblStylePr>
    <w:tblStylePr w:type="lastRow">
      <w:tblPr/>
      <w:tcPr>
        <w:tcBorders>
          <w:top w:val="single" w:sz="8" w:space="0" w:color="7FD5C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D5C5" w:themeColor="accent3"/>
          <w:insideH w:val="nil"/>
          <w:insideV w:val="nil"/>
        </w:tcBorders>
        <w:shd w:val="clear" w:color="auto" w:fill="FFFFFF" w:themeFill="background1"/>
      </w:tcPr>
    </w:tblStylePr>
    <w:tblStylePr w:type="lastCol">
      <w:tblPr/>
      <w:tcPr>
        <w:tcBorders>
          <w:top w:val="nil"/>
          <w:left w:val="single" w:sz="8" w:space="0" w:color="7FD5C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F4F0" w:themeFill="accent3" w:themeFillTint="3F"/>
      </w:tcPr>
    </w:tblStylePr>
    <w:tblStylePr w:type="band1Horz">
      <w:tblPr/>
      <w:tcPr>
        <w:tcBorders>
          <w:top w:val="nil"/>
          <w:bottom w:val="nil"/>
          <w:insideH w:val="nil"/>
          <w:insideV w:val="nil"/>
        </w:tcBorders>
        <w:shd w:val="clear" w:color="auto" w:fill="DFF4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BD476" w:themeColor="accent4"/>
        <w:left w:val="single" w:sz="8" w:space="0" w:color="FBD476" w:themeColor="accent4"/>
        <w:bottom w:val="single" w:sz="8" w:space="0" w:color="FBD476" w:themeColor="accent4"/>
        <w:right w:val="single" w:sz="8" w:space="0" w:color="FBD476" w:themeColor="accent4"/>
      </w:tblBorders>
    </w:tblPr>
    <w:tblStylePr w:type="firstRow">
      <w:rPr>
        <w:sz w:val="24"/>
        <w:szCs w:val="24"/>
      </w:rPr>
      <w:tblPr/>
      <w:tcPr>
        <w:tcBorders>
          <w:top w:val="nil"/>
          <w:left w:val="nil"/>
          <w:bottom w:val="single" w:sz="24" w:space="0" w:color="FBD476" w:themeColor="accent4"/>
          <w:right w:val="nil"/>
          <w:insideH w:val="nil"/>
          <w:insideV w:val="nil"/>
        </w:tcBorders>
        <w:shd w:val="clear" w:color="auto" w:fill="FFFFFF" w:themeFill="background1"/>
      </w:tcPr>
    </w:tblStylePr>
    <w:tblStylePr w:type="lastRow">
      <w:tblPr/>
      <w:tcPr>
        <w:tcBorders>
          <w:top w:val="single" w:sz="8" w:space="0" w:color="FBD47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D476" w:themeColor="accent4"/>
          <w:insideH w:val="nil"/>
          <w:insideV w:val="nil"/>
        </w:tcBorders>
        <w:shd w:val="clear" w:color="auto" w:fill="FFFFFF" w:themeFill="background1"/>
      </w:tcPr>
    </w:tblStylePr>
    <w:tblStylePr w:type="lastCol">
      <w:tblPr/>
      <w:tcPr>
        <w:tcBorders>
          <w:top w:val="nil"/>
          <w:left w:val="single" w:sz="8" w:space="0" w:color="FBD47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4DC" w:themeFill="accent4" w:themeFillTint="3F"/>
      </w:tcPr>
    </w:tblStylePr>
    <w:tblStylePr w:type="band1Horz">
      <w:tblPr/>
      <w:tcPr>
        <w:tcBorders>
          <w:top w:val="nil"/>
          <w:bottom w:val="nil"/>
          <w:insideH w:val="nil"/>
          <w:insideV w:val="nil"/>
        </w:tcBorders>
        <w:shd w:val="clear" w:color="auto" w:fill="FEF4D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EBA089" w:themeColor="accent5"/>
        <w:left w:val="single" w:sz="8" w:space="0" w:color="EBA089" w:themeColor="accent5"/>
        <w:bottom w:val="single" w:sz="8" w:space="0" w:color="EBA089" w:themeColor="accent5"/>
        <w:right w:val="single" w:sz="8" w:space="0" w:color="EBA089" w:themeColor="accent5"/>
      </w:tblBorders>
    </w:tblPr>
    <w:tblStylePr w:type="firstRow">
      <w:rPr>
        <w:sz w:val="24"/>
        <w:szCs w:val="24"/>
      </w:rPr>
      <w:tblPr/>
      <w:tcPr>
        <w:tcBorders>
          <w:top w:val="nil"/>
          <w:left w:val="nil"/>
          <w:bottom w:val="single" w:sz="24" w:space="0" w:color="EBA089" w:themeColor="accent5"/>
          <w:right w:val="nil"/>
          <w:insideH w:val="nil"/>
          <w:insideV w:val="nil"/>
        </w:tcBorders>
        <w:shd w:val="clear" w:color="auto" w:fill="FFFFFF" w:themeFill="background1"/>
      </w:tcPr>
    </w:tblStylePr>
    <w:tblStylePr w:type="lastRow">
      <w:tblPr/>
      <w:tcPr>
        <w:tcBorders>
          <w:top w:val="single" w:sz="8" w:space="0" w:color="EBA08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A089" w:themeColor="accent5"/>
          <w:insideH w:val="nil"/>
          <w:insideV w:val="nil"/>
        </w:tcBorders>
        <w:shd w:val="clear" w:color="auto" w:fill="FFFFFF" w:themeFill="background1"/>
      </w:tcPr>
    </w:tblStylePr>
    <w:tblStylePr w:type="lastCol">
      <w:tblPr/>
      <w:tcPr>
        <w:tcBorders>
          <w:top w:val="nil"/>
          <w:left w:val="single" w:sz="8" w:space="0" w:color="EBA08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7E1" w:themeFill="accent5" w:themeFillTint="3F"/>
      </w:tcPr>
    </w:tblStylePr>
    <w:tblStylePr w:type="band1Horz">
      <w:tblPr/>
      <w:tcPr>
        <w:tcBorders>
          <w:top w:val="nil"/>
          <w:bottom w:val="nil"/>
          <w:insideH w:val="nil"/>
          <w:insideV w:val="nil"/>
        </w:tcBorders>
        <w:shd w:val="clear" w:color="auto" w:fill="FAE7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F204B" w:themeColor="accent6"/>
        <w:left w:val="single" w:sz="8" w:space="0" w:color="0F204B" w:themeColor="accent6"/>
        <w:bottom w:val="single" w:sz="8" w:space="0" w:color="0F204B" w:themeColor="accent6"/>
        <w:right w:val="single" w:sz="8" w:space="0" w:color="0F204B" w:themeColor="accent6"/>
      </w:tblBorders>
    </w:tblPr>
    <w:tblStylePr w:type="firstRow">
      <w:rPr>
        <w:sz w:val="24"/>
        <w:szCs w:val="24"/>
      </w:rPr>
      <w:tblPr/>
      <w:tcPr>
        <w:tcBorders>
          <w:top w:val="nil"/>
          <w:left w:val="nil"/>
          <w:bottom w:val="single" w:sz="24" w:space="0" w:color="0F204B" w:themeColor="accent6"/>
          <w:right w:val="nil"/>
          <w:insideH w:val="nil"/>
          <w:insideV w:val="nil"/>
        </w:tcBorders>
        <w:shd w:val="clear" w:color="auto" w:fill="FFFFFF" w:themeFill="background1"/>
      </w:tcPr>
    </w:tblStylePr>
    <w:tblStylePr w:type="lastRow">
      <w:tblPr/>
      <w:tcPr>
        <w:tcBorders>
          <w:top w:val="single" w:sz="8" w:space="0" w:color="0F204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204B" w:themeColor="accent6"/>
          <w:insideH w:val="nil"/>
          <w:insideV w:val="nil"/>
        </w:tcBorders>
        <w:shd w:val="clear" w:color="auto" w:fill="FFFFFF" w:themeFill="background1"/>
      </w:tcPr>
    </w:tblStylePr>
    <w:tblStylePr w:type="lastCol">
      <w:tblPr/>
      <w:tcPr>
        <w:tcBorders>
          <w:top w:val="nil"/>
          <w:left w:val="single" w:sz="8" w:space="0" w:color="0F204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BBED" w:themeFill="accent6" w:themeFillTint="3F"/>
      </w:tcPr>
    </w:tblStylePr>
    <w:tblStylePr w:type="band1Horz">
      <w:tblPr/>
      <w:tcPr>
        <w:tcBorders>
          <w:top w:val="nil"/>
          <w:bottom w:val="nil"/>
          <w:insideH w:val="nil"/>
          <w:insideV w:val="nil"/>
        </w:tcBorders>
        <w:shd w:val="clear" w:color="auto" w:fill="A8BBE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6D9DE4" w:themeColor="accent1" w:themeTint="BF"/>
        <w:left w:val="single" w:sz="8" w:space="0" w:color="6D9DE4" w:themeColor="accent1" w:themeTint="BF"/>
        <w:bottom w:val="single" w:sz="8" w:space="0" w:color="6D9DE4" w:themeColor="accent1" w:themeTint="BF"/>
        <w:right w:val="single" w:sz="8" w:space="0" w:color="6D9DE4" w:themeColor="accent1" w:themeTint="BF"/>
        <w:insideH w:val="single" w:sz="8" w:space="0" w:color="6D9DE4" w:themeColor="accent1" w:themeTint="BF"/>
      </w:tblBorders>
    </w:tblPr>
    <w:tblStylePr w:type="firstRow">
      <w:pPr>
        <w:spacing w:before="0" w:after="0" w:line="240" w:lineRule="auto"/>
      </w:pPr>
      <w:rPr>
        <w:b/>
        <w:bCs/>
        <w:color w:val="FFFFFF" w:themeColor="background1"/>
      </w:rPr>
      <w:tblPr/>
      <w:tcPr>
        <w:tcBorders>
          <w:top w:val="single" w:sz="8" w:space="0" w:color="6D9DE4" w:themeColor="accent1" w:themeTint="BF"/>
          <w:left w:val="single" w:sz="8" w:space="0" w:color="6D9DE4" w:themeColor="accent1" w:themeTint="BF"/>
          <w:bottom w:val="single" w:sz="8" w:space="0" w:color="6D9DE4" w:themeColor="accent1" w:themeTint="BF"/>
          <w:right w:val="single" w:sz="8" w:space="0" w:color="6D9DE4" w:themeColor="accent1" w:themeTint="BF"/>
          <w:insideH w:val="nil"/>
          <w:insideV w:val="nil"/>
        </w:tcBorders>
        <w:shd w:val="clear" w:color="auto" w:fill="3D7EDB" w:themeFill="accent1"/>
      </w:tcPr>
    </w:tblStylePr>
    <w:tblStylePr w:type="lastRow">
      <w:pPr>
        <w:spacing w:before="0" w:after="0" w:line="240" w:lineRule="auto"/>
      </w:pPr>
      <w:rPr>
        <w:b/>
        <w:bCs/>
      </w:rPr>
      <w:tblPr/>
      <w:tcPr>
        <w:tcBorders>
          <w:top w:val="double" w:sz="6" w:space="0" w:color="6D9DE4" w:themeColor="accent1" w:themeTint="BF"/>
          <w:left w:val="single" w:sz="8" w:space="0" w:color="6D9DE4" w:themeColor="accent1" w:themeTint="BF"/>
          <w:bottom w:val="single" w:sz="8" w:space="0" w:color="6D9DE4" w:themeColor="accent1" w:themeTint="BF"/>
          <w:right w:val="single" w:sz="8" w:space="0" w:color="6D9DE4" w:themeColor="accent1" w:themeTint="BF"/>
          <w:insideH w:val="nil"/>
          <w:insideV w:val="nil"/>
        </w:tcBorders>
      </w:tcPr>
    </w:tblStylePr>
    <w:tblStylePr w:type="firstCol">
      <w:rPr>
        <w:b/>
        <w:bCs/>
      </w:rPr>
    </w:tblStylePr>
    <w:tblStylePr w:type="lastCol">
      <w:rPr>
        <w:b/>
        <w:bCs/>
      </w:rPr>
    </w:tblStylePr>
    <w:tblStylePr w:type="band1Vert">
      <w:tblPr/>
      <w:tcPr>
        <w:shd w:val="clear" w:color="auto" w:fill="CEDEF6" w:themeFill="accent1" w:themeFillTint="3F"/>
      </w:tcPr>
    </w:tblStylePr>
    <w:tblStylePr w:type="band1Horz">
      <w:tblPr/>
      <w:tcPr>
        <w:tcBorders>
          <w:insideH w:val="nil"/>
          <w:insideV w:val="nil"/>
        </w:tcBorders>
        <w:shd w:val="clear" w:color="auto" w:fill="CEDE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96DCEF" w:themeColor="accent2" w:themeTint="BF"/>
        <w:left w:val="single" w:sz="8" w:space="0" w:color="96DCEF" w:themeColor="accent2" w:themeTint="BF"/>
        <w:bottom w:val="single" w:sz="8" w:space="0" w:color="96DCEF" w:themeColor="accent2" w:themeTint="BF"/>
        <w:right w:val="single" w:sz="8" w:space="0" w:color="96DCEF" w:themeColor="accent2" w:themeTint="BF"/>
        <w:insideH w:val="single" w:sz="8" w:space="0" w:color="96DCEF" w:themeColor="accent2" w:themeTint="BF"/>
      </w:tblBorders>
    </w:tblPr>
    <w:tblStylePr w:type="firstRow">
      <w:pPr>
        <w:spacing w:before="0" w:after="0" w:line="240" w:lineRule="auto"/>
      </w:pPr>
      <w:rPr>
        <w:b/>
        <w:bCs/>
        <w:color w:val="FFFFFF" w:themeColor="background1"/>
      </w:rPr>
      <w:tblPr/>
      <w:tcPr>
        <w:tcBorders>
          <w:top w:val="single" w:sz="8" w:space="0" w:color="96DCEF" w:themeColor="accent2" w:themeTint="BF"/>
          <w:left w:val="single" w:sz="8" w:space="0" w:color="96DCEF" w:themeColor="accent2" w:themeTint="BF"/>
          <w:bottom w:val="single" w:sz="8" w:space="0" w:color="96DCEF" w:themeColor="accent2" w:themeTint="BF"/>
          <w:right w:val="single" w:sz="8" w:space="0" w:color="96DCEF" w:themeColor="accent2" w:themeTint="BF"/>
          <w:insideH w:val="nil"/>
          <w:insideV w:val="nil"/>
        </w:tcBorders>
        <w:shd w:val="clear" w:color="auto" w:fill="74D1EA" w:themeFill="accent2"/>
      </w:tcPr>
    </w:tblStylePr>
    <w:tblStylePr w:type="lastRow">
      <w:pPr>
        <w:spacing w:before="0" w:after="0" w:line="240" w:lineRule="auto"/>
      </w:pPr>
      <w:rPr>
        <w:b/>
        <w:bCs/>
      </w:rPr>
      <w:tblPr/>
      <w:tcPr>
        <w:tcBorders>
          <w:top w:val="double" w:sz="6" w:space="0" w:color="96DCEF" w:themeColor="accent2" w:themeTint="BF"/>
          <w:left w:val="single" w:sz="8" w:space="0" w:color="96DCEF" w:themeColor="accent2" w:themeTint="BF"/>
          <w:bottom w:val="single" w:sz="8" w:space="0" w:color="96DCEF" w:themeColor="accent2" w:themeTint="BF"/>
          <w:right w:val="single" w:sz="8" w:space="0" w:color="96DCE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CF3F9" w:themeFill="accent2" w:themeFillTint="3F"/>
      </w:tcPr>
    </w:tblStylePr>
    <w:tblStylePr w:type="band1Horz">
      <w:tblPr/>
      <w:tcPr>
        <w:tcBorders>
          <w:insideH w:val="nil"/>
          <w:insideV w:val="nil"/>
        </w:tcBorders>
        <w:shd w:val="clear" w:color="auto" w:fill="DCF3F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9FDFD3" w:themeColor="accent3" w:themeTint="BF"/>
        <w:left w:val="single" w:sz="8" w:space="0" w:color="9FDFD3" w:themeColor="accent3" w:themeTint="BF"/>
        <w:bottom w:val="single" w:sz="8" w:space="0" w:color="9FDFD3" w:themeColor="accent3" w:themeTint="BF"/>
        <w:right w:val="single" w:sz="8" w:space="0" w:color="9FDFD3" w:themeColor="accent3" w:themeTint="BF"/>
        <w:insideH w:val="single" w:sz="8" w:space="0" w:color="9FDFD3" w:themeColor="accent3" w:themeTint="BF"/>
      </w:tblBorders>
    </w:tblPr>
    <w:tblStylePr w:type="firstRow">
      <w:pPr>
        <w:spacing w:before="0" w:after="0" w:line="240" w:lineRule="auto"/>
      </w:pPr>
      <w:rPr>
        <w:b/>
        <w:bCs/>
        <w:color w:val="FFFFFF" w:themeColor="background1"/>
      </w:rPr>
      <w:tblPr/>
      <w:tcPr>
        <w:tcBorders>
          <w:top w:val="single" w:sz="8" w:space="0" w:color="9FDFD3" w:themeColor="accent3" w:themeTint="BF"/>
          <w:left w:val="single" w:sz="8" w:space="0" w:color="9FDFD3" w:themeColor="accent3" w:themeTint="BF"/>
          <w:bottom w:val="single" w:sz="8" w:space="0" w:color="9FDFD3" w:themeColor="accent3" w:themeTint="BF"/>
          <w:right w:val="single" w:sz="8" w:space="0" w:color="9FDFD3" w:themeColor="accent3" w:themeTint="BF"/>
          <w:insideH w:val="nil"/>
          <w:insideV w:val="nil"/>
        </w:tcBorders>
        <w:shd w:val="clear" w:color="auto" w:fill="7FD5C5" w:themeFill="accent3"/>
      </w:tcPr>
    </w:tblStylePr>
    <w:tblStylePr w:type="lastRow">
      <w:pPr>
        <w:spacing w:before="0" w:after="0" w:line="240" w:lineRule="auto"/>
      </w:pPr>
      <w:rPr>
        <w:b/>
        <w:bCs/>
      </w:rPr>
      <w:tblPr/>
      <w:tcPr>
        <w:tcBorders>
          <w:top w:val="double" w:sz="6" w:space="0" w:color="9FDFD3" w:themeColor="accent3" w:themeTint="BF"/>
          <w:left w:val="single" w:sz="8" w:space="0" w:color="9FDFD3" w:themeColor="accent3" w:themeTint="BF"/>
          <w:bottom w:val="single" w:sz="8" w:space="0" w:color="9FDFD3" w:themeColor="accent3" w:themeTint="BF"/>
          <w:right w:val="single" w:sz="8" w:space="0" w:color="9FDFD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F4F0" w:themeFill="accent3" w:themeFillTint="3F"/>
      </w:tcPr>
    </w:tblStylePr>
    <w:tblStylePr w:type="band1Horz">
      <w:tblPr/>
      <w:tcPr>
        <w:tcBorders>
          <w:insideH w:val="nil"/>
          <w:insideV w:val="nil"/>
        </w:tcBorders>
        <w:shd w:val="clear" w:color="auto" w:fill="DFF4F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FCDE98" w:themeColor="accent4" w:themeTint="BF"/>
        <w:left w:val="single" w:sz="8" w:space="0" w:color="FCDE98" w:themeColor="accent4" w:themeTint="BF"/>
        <w:bottom w:val="single" w:sz="8" w:space="0" w:color="FCDE98" w:themeColor="accent4" w:themeTint="BF"/>
        <w:right w:val="single" w:sz="8" w:space="0" w:color="FCDE98" w:themeColor="accent4" w:themeTint="BF"/>
        <w:insideH w:val="single" w:sz="8" w:space="0" w:color="FCDE98" w:themeColor="accent4" w:themeTint="BF"/>
      </w:tblBorders>
    </w:tblPr>
    <w:tblStylePr w:type="firstRow">
      <w:pPr>
        <w:spacing w:before="0" w:after="0" w:line="240" w:lineRule="auto"/>
      </w:pPr>
      <w:rPr>
        <w:b/>
        <w:bCs/>
        <w:color w:val="FFFFFF" w:themeColor="background1"/>
      </w:rPr>
      <w:tblPr/>
      <w:tcPr>
        <w:tcBorders>
          <w:top w:val="single" w:sz="8" w:space="0" w:color="FCDE98" w:themeColor="accent4" w:themeTint="BF"/>
          <w:left w:val="single" w:sz="8" w:space="0" w:color="FCDE98" w:themeColor="accent4" w:themeTint="BF"/>
          <w:bottom w:val="single" w:sz="8" w:space="0" w:color="FCDE98" w:themeColor="accent4" w:themeTint="BF"/>
          <w:right w:val="single" w:sz="8" w:space="0" w:color="FCDE98" w:themeColor="accent4" w:themeTint="BF"/>
          <w:insideH w:val="nil"/>
          <w:insideV w:val="nil"/>
        </w:tcBorders>
        <w:shd w:val="clear" w:color="auto" w:fill="FBD476" w:themeFill="accent4"/>
      </w:tcPr>
    </w:tblStylePr>
    <w:tblStylePr w:type="lastRow">
      <w:pPr>
        <w:spacing w:before="0" w:after="0" w:line="240" w:lineRule="auto"/>
      </w:pPr>
      <w:rPr>
        <w:b/>
        <w:bCs/>
      </w:rPr>
      <w:tblPr/>
      <w:tcPr>
        <w:tcBorders>
          <w:top w:val="double" w:sz="6" w:space="0" w:color="FCDE98" w:themeColor="accent4" w:themeTint="BF"/>
          <w:left w:val="single" w:sz="8" w:space="0" w:color="FCDE98" w:themeColor="accent4" w:themeTint="BF"/>
          <w:bottom w:val="single" w:sz="8" w:space="0" w:color="FCDE98" w:themeColor="accent4" w:themeTint="BF"/>
          <w:right w:val="single" w:sz="8" w:space="0" w:color="FCDE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4DC" w:themeFill="accent4" w:themeFillTint="3F"/>
      </w:tcPr>
    </w:tblStylePr>
    <w:tblStylePr w:type="band1Horz">
      <w:tblPr/>
      <w:tcPr>
        <w:tcBorders>
          <w:insideH w:val="nil"/>
          <w:insideV w:val="nil"/>
        </w:tcBorders>
        <w:shd w:val="clear" w:color="auto" w:fill="FEF4D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F0B7A6" w:themeColor="accent5" w:themeTint="BF"/>
        <w:left w:val="single" w:sz="8" w:space="0" w:color="F0B7A6" w:themeColor="accent5" w:themeTint="BF"/>
        <w:bottom w:val="single" w:sz="8" w:space="0" w:color="F0B7A6" w:themeColor="accent5" w:themeTint="BF"/>
        <w:right w:val="single" w:sz="8" w:space="0" w:color="F0B7A6" w:themeColor="accent5" w:themeTint="BF"/>
        <w:insideH w:val="single" w:sz="8" w:space="0" w:color="F0B7A6" w:themeColor="accent5" w:themeTint="BF"/>
      </w:tblBorders>
    </w:tblPr>
    <w:tblStylePr w:type="firstRow">
      <w:pPr>
        <w:spacing w:before="0" w:after="0" w:line="240" w:lineRule="auto"/>
      </w:pPr>
      <w:rPr>
        <w:b/>
        <w:bCs/>
        <w:color w:val="FFFFFF" w:themeColor="background1"/>
      </w:rPr>
      <w:tblPr/>
      <w:tcPr>
        <w:tcBorders>
          <w:top w:val="single" w:sz="8" w:space="0" w:color="F0B7A6" w:themeColor="accent5" w:themeTint="BF"/>
          <w:left w:val="single" w:sz="8" w:space="0" w:color="F0B7A6" w:themeColor="accent5" w:themeTint="BF"/>
          <w:bottom w:val="single" w:sz="8" w:space="0" w:color="F0B7A6" w:themeColor="accent5" w:themeTint="BF"/>
          <w:right w:val="single" w:sz="8" w:space="0" w:color="F0B7A6" w:themeColor="accent5" w:themeTint="BF"/>
          <w:insideH w:val="nil"/>
          <w:insideV w:val="nil"/>
        </w:tcBorders>
        <w:shd w:val="clear" w:color="auto" w:fill="EBA089" w:themeFill="accent5"/>
      </w:tcPr>
    </w:tblStylePr>
    <w:tblStylePr w:type="lastRow">
      <w:pPr>
        <w:spacing w:before="0" w:after="0" w:line="240" w:lineRule="auto"/>
      </w:pPr>
      <w:rPr>
        <w:b/>
        <w:bCs/>
      </w:rPr>
      <w:tblPr/>
      <w:tcPr>
        <w:tcBorders>
          <w:top w:val="double" w:sz="6" w:space="0" w:color="F0B7A6" w:themeColor="accent5" w:themeTint="BF"/>
          <w:left w:val="single" w:sz="8" w:space="0" w:color="F0B7A6" w:themeColor="accent5" w:themeTint="BF"/>
          <w:bottom w:val="single" w:sz="8" w:space="0" w:color="F0B7A6" w:themeColor="accent5" w:themeTint="BF"/>
          <w:right w:val="single" w:sz="8" w:space="0" w:color="F0B7A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E7E1" w:themeFill="accent5" w:themeFillTint="3F"/>
      </w:tcPr>
    </w:tblStylePr>
    <w:tblStylePr w:type="band1Horz">
      <w:tblPr/>
      <w:tcPr>
        <w:tcBorders>
          <w:insideH w:val="nil"/>
          <w:insideV w:val="nil"/>
        </w:tcBorders>
        <w:shd w:val="clear" w:color="auto" w:fill="FAE7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2045A2" w:themeColor="accent6" w:themeTint="BF"/>
        <w:left w:val="single" w:sz="8" w:space="0" w:color="2045A2" w:themeColor="accent6" w:themeTint="BF"/>
        <w:bottom w:val="single" w:sz="8" w:space="0" w:color="2045A2" w:themeColor="accent6" w:themeTint="BF"/>
        <w:right w:val="single" w:sz="8" w:space="0" w:color="2045A2" w:themeColor="accent6" w:themeTint="BF"/>
        <w:insideH w:val="single" w:sz="8" w:space="0" w:color="2045A2" w:themeColor="accent6" w:themeTint="BF"/>
      </w:tblBorders>
    </w:tblPr>
    <w:tblStylePr w:type="firstRow">
      <w:pPr>
        <w:spacing w:before="0" w:after="0" w:line="240" w:lineRule="auto"/>
      </w:pPr>
      <w:rPr>
        <w:b/>
        <w:bCs/>
        <w:color w:val="FFFFFF" w:themeColor="background1"/>
      </w:rPr>
      <w:tblPr/>
      <w:tcPr>
        <w:tcBorders>
          <w:top w:val="single" w:sz="8" w:space="0" w:color="2045A2" w:themeColor="accent6" w:themeTint="BF"/>
          <w:left w:val="single" w:sz="8" w:space="0" w:color="2045A2" w:themeColor="accent6" w:themeTint="BF"/>
          <w:bottom w:val="single" w:sz="8" w:space="0" w:color="2045A2" w:themeColor="accent6" w:themeTint="BF"/>
          <w:right w:val="single" w:sz="8" w:space="0" w:color="2045A2" w:themeColor="accent6" w:themeTint="BF"/>
          <w:insideH w:val="nil"/>
          <w:insideV w:val="nil"/>
        </w:tcBorders>
        <w:shd w:val="clear" w:color="auto" w:fill="0F204B" w:themeFill="accent6"/>
      </w:tcPr>
    </w:tblStylePr>
    <w:tblStylePr w:type="lastRow">
      <w:pPr>
        <w:spacing w:before="0" w:after="0" w:line="240" w:lineRule="auto"/>
      </w:pPr>
      <w:rPr>
        <w:b/>
        <w:bCs/>
      </w:rPr>
      <w:tblPr/>
      <w:tcPr>
        <w:tcBorders>
          <w:top w:val="double" w:sz="6" w:space="0" w:color="2045A2" w:themeColor="accent6" w:themeTint="BF"/>
          <w:left w:val="single" w:sz="8" w:space="0" w:color="2045A2" w:themeColor="accent6" w:themeTint="BF"/>
          <w:bottom w:val="single" w:sz="8" w:space="0" w:color="2045A2" w:themeColor="accent6" w:themeTint="BF"/>
          <w:right w:val="single" w:sz="8" w:space="0" w:color="2045A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8BBED" w:themeFill="accent6" w:themeFillTint="3F"/>
      </w:tcPr>
    </w:tblStylePr>
    <w:tblStylePr w:type="band1Horz">
      <w:tblPr/>
      <w:tcPr>
        <w:tcBorders>
          <w:insideH w:val="nil"/>
          <w:insideV w:val="nil"/>
        </w:tcBorders>
        <w:shd w:val="clear" w:color="auto" w:fill="A8BBE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7ED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D7EDB" w:themeFill="accent1"/>
      </w:tcPr>
    </w:tblStylePr>
    <w:tblStylePr w:type="lastCol">
      <w:rPr>
        <w:b/>
        <w:bCs/>
        <w:color w:val="FFFFFF" w:themeColor="background1"/>
      </w:rPr>
      <w:tblPr/>
      <w:tcPr>
        <w:tcBorders>
          <w:left w:val="nil"/>
          <w:right w:val="nil"/>
          <w:insideH w:val="nil"/>
          <w:insideV w:val="nil"/>
        </w:tcBorders>
        <w:shd w:val="clear" w:color="auto" w:fill="3D7ED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D1E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D1EA" w:themeFill="accent2"/>
      </w:tcPr>
    </w:tblStylePr>
    <w:tblStylePr w:type="lastCol">
      <w:rPr>
        <w:b/>
        <w:bCs/>
        <w:color w:val="FFFFFF" w:themeColor="background1"/>
      </w:rPr>
      <w:tblPr/>
      <w:tcPr>
        <w:tcBorders>
          <w:left w:val="nil"/>
          <w:right w:val="nil"/>
          <w:insideH w:val="nil"/>
          <w:insideV w:val="nil"/>
        </w:tcBorders>
        <w:shd w:val="clear" w:color="auto" w:fill="74D1E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D5C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D5C5" w:themeFill="accent3"/>
      </w:tcPr>
    </w:tblStylePr>
    <w:tblStylePr w:type="lastCol">
      <w:rPr>
        <w:b/>
        <w:bCs/>
        <w:color w:val="FFFFFF" w:themeColor="background1"/>
      </w:rPr>
      <w:tblPr/>
      <w:tcPr>
        <w:tcBorders>
          <w:left w:val="nil"/>
          <w:right w:val="nil"/>
          <w:insideH w:val="nil"/>
          <w:insideV w:val="nil"/>
        </w:tcBorders>
        <w:shd w:val="clear" w:color="auto" w:fill="7FD5C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D47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D476" w:themeFill="accent4"/>
      </w:tcPr>
    </w:tblStylePr>
    <w:tblStylePr w:type="lastCol">
      <w:rPr>
        <w:b/>
        <w:bCs/>
        <w:color w:val="FFFFFF" w:themeColor="background1"/>
      </w:rPr>
      <w:tblPr/>
      <w:tcPr>
        <w:tcBorders>
          <w:left w:val="nil"/>
          <w:right w:val="nil"/>
          <w:insideH w:val="nil"/>
          <w:insideV w:val="nil"/>
        </w:tcBorders>
        <w:shd w:val="clear" w:color="auto" w:fill="FBD47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A08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A089" w:themeFill="accent5"/>
      </w:tcPr>
    </w:tblStylePr>
    <w:tblStylePr w:type="lastCol">
      <w:rPr>
        <w:b/>
        <w:bCs/>
        <w:color w:val="FFFFFF" w:themeColor="background1"/>
      </w:rPr>
      <w:tblPr/>
      <w:tcPr>
        <w:tcBorders>
          <w:left w:val="nil"/>
          <w:right w:val="nil"/>
          <w:insideH w:val="nil"/>
          <w:insideV w:val="nil"/>
        </w:tcBorders>
        <w:shd w:val="clear" w:color="auto" w:fill="EBA08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204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204B" w:themeFill="accent6"/>
      </w:tcPr>
    </w:tblStylePr>
    <w:tblStylePr w:type="lastCol">
      <w:rPr>
        <w:b/>
        <w:bCs/>
        <w:color w:val="FFFFFF" w:themeColor="background1"/>
      </w:rPr>
      <w:tblPr/>
      <w:tcPr>
        <w:tcBorders>
          <w:left w:val="nil"/>
          <w:right w:val="nil"/>
          <w:insideH w:val="nil"/>
          <w:insideV w:val="nil"/>
        </w:tcBorders>
        <w:shd w:val="clear" w:color="auto" w:fill="0F204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8629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2"/>
    <w:rsid w:val="00E13151"/>
    <w:rPr>
      <w:sz w:val="17"/>
    </w:rPr>
  </w:style>
  <w:style w:type="character" w:customStyle="1" w:styleId="TOC1Char">
    <w:name w:val="TOC 1 Char"/>
    <w:basedOn w:val="DefaultParagraphFont"/>
    <w:link w:val="TOC1"/>
    <w:uiPriority w:val="39"/>
    <w:rsid w:val="00682403"/>
    <w:rPr>
      <w:b/>
      <w:noProof/>
      <w:color w:val="0F204B" w:themeColor="text2"/>
      <w:szCs w:val="18"/>
    </w:rPr>
  </w:style>
  <w:style w:type="paragraph" w:styleId="EndnoteText">
    <w:name w:val="endnote text"/>
    <w:basedOn w:val="Normal"/>
    <w:link w:val="EndnoteTextChar"/>
    <w:semiHidden/>
    <w:unhideWhenUsed/>
    <w:rsid w:val="00E36C40"/>
    <w:pPr>
      <w:spacing w:after="0"/>
    </w:pPr>
  </w:style>
  <w:style w:type="paragraph" w:styleId="ListContinue4">
    <w:name w:val="List Continue 4"/>
    <w:basedOn w:val="Normal"/>
    <w:semiHidden/>
    <w:rsid w:val="0058629F"/>
    <w:pPr>
      <w:spacing w:after="100"/>
      <w:ind w:left="1814"/>
    </w:pPr>
  </w:style>
  <w:style w:type="paragraph" w:styleId="ListContinue5">
    <w:name w:val="List Continue 5"/>
    <w:basedOn w:val="Normal"/>
    <w:semiHidden/>
    <w:rsid w:val="0058629F"/>
    <w:pPr>
      <w:spacing w:after="100"/>
      <w:ind w:left="2268"/>
    </w:pPr>
  </w:style>
  <w:style w:type="paragraph" w:customStyle="1" w:styleId="AppendixHeading2">
    <w:name w:val="Appendix Heading 2"/>
    <w:basedOn w:val="Normal"/>
    <w:next w:val="Normal"/>
    <w:uiPriority w:val="2"/>
    <w:qFormat/>
    <w:rsid w:val="00991BF6"/>
    <w:pPr>
      <w:keepNext/>
      <w:keepLines/>
      <w:numPr>
        <w:ilvl w:val="1"/>
        <w:numId w:val="9"/>
      </w:numPr>
      <w:spacing w:before="240" w:after="180" w:line="310" w:lineRule="atLeast"/>
    </w:pPr>
    <w:rPr>
      <w:rFonts w:asciiTheme="majorHAnsi" w:eastAsiaTheme="majorEastAsia" w:hAnsiTheme="majorHAnsi" w:cs="Arial"/>
      <w:b/>
      <w:bCs/>
      <w:color w:val="3D7EDB" w:themeColor="accent1"/>
      <w:sz w:val="28"/>
      <w:szCs w:val="40"/>
    </w:rPr>
  </w:style>
  <w:style w:type="paragraph" w:customStyle="1" w:styleId="AppendixHeading3">
    <w:name w:val="Appendix Heading 3"/>
    <w:basedOn w:val="AppendixHeading2"/>
    <w:next w:val="BodyText"/>
    <w:uiPriority w:val="2"/>
    <w:qFormat/>
    <w:rsid w:val="00991BF6"/>
    <w:pPr>
      <w:numPr>
        <w:ilvl w:val="2"/>
      </w:numPr>
      <w:spacing w:line="290" w:lineRule="atLeast"/>
    </w:pPr>
    <w:rPr>
      <w:sz w:val="24"/>
    </w:rPr>
  </w:style>
  <w:style w:type="numbering" w:customStyle="1" w:styleId="Appendices">
    <w:name w:val="Appendices"/>
    <w:uiPriority w:val="99"/>
    <w:rsid w:val="0058629F"/>
    <w:pPr>
      <w:numPr>
        <w:numId w:val="1"/>
      </w:numPr>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E36C40"/>
  </w:style>
  <w:style w:type="character" w:styleId="EndnoteReference">
    <w:name w:val="endnote reference"/>
    <w:basedOn w:val="DefaultParagraphFont"/>
    <w:semiHidden/>
    <w:unhideWhenUsed/>
    <w:rsid w:val="00E36C40"/>
    <w:rPr>
      <w:vertAlign w:val="superscript"/>
    </w:rPr>
  </w:style>
  <w:style w:type="table" w:styleId="TableGrid">
    <w:name w:val="Table Grid"/>
    <w:basedOn w:val="TableNormal"/>
    <w:rsid w:val="00816079"/>
    <w:pPr>
      <w:spacing w:before="86" w:after="86"/>
    </w:pPr>
    <w:rPr>
      <w:spacing w:val="-1"/>
    </w:rPr>
    <w:tblPr>
      <w:tblStyleRowBandSize w:val="1"/>
      <w:tblStyleColBandSize w:val="1"/>
      <w:tblBorders>
        <w:top w:val="single" w:sz="4" w:space="0" w:color="3D7EDB" w:themeColor="accent1"/>
        <w:bottom w:val="single" w:sz="4" w:space="0" w:color="3D7EDB" w:themeColor="accent1"/>
        <w:insideH w:val="single" w:sz="4" w:space="0" w:color="3D7EDB" w:themeColor="accent1"/>
      </w:tblBorders>
      <w:tblCellMar>
        <w:left w:w="102" w:type="dxa"/>
        <w:right w:w="102" w:type="dxa"/>
      </w:tblCellMar>
    </w:tblPr>
    <w:tcPr>
      <w:shd w:val="clear" w:color="auto" w:fill="auto"/>
    </w:tcPr>
    <w:tblStylePr w:type="firstRow">
      <w:pPr>
        <w:wordWrap/>
        <w:spacing w:beforeLines="0" w:before="80" w:beforeAutospacing="0" w:afterLines="0" w:after="80" w:afterAutospacing="0" w:line="240" w:lineRule="atLeast"/>
      </w:pPr>
      <w:rPr>
        <w:b/>
        <w:color w:val="FFFFFF" w:themeColor="background1"/>
        <w:sz w:val="20"/>
      </w:rPr>
      <w:tblPr/>
      <w:tcPr>
        <w:shd w:val="clear" w:color="auto" w:fill="3D7EDB" w:themeFill="accent1"/>
      </w:tcPr>
    </w:tblStylePr>
    <w:tblStylePr w:type="firstCol">
      <w:rPr>
        <w:b/>
        <w:color w:val="3D7EDB" w:themeColor="accent1"/>
      </w:rPr>
    </w:tblStylePr>
    <w:tblStylePr w:type="band2Horz">
      <w:tblPr/>
      <w:tcPr>
        <w:shd w:val="clear" w:color="auto" w:fill="F5F9FD" w:themeFill="background2"/>
      </w:tcPr>
    </w:tblStylePr>
  </w:style>
  <w:style w:type="paragraph" w:customStyle="1" w:styleId="Introduction">
    <w:name w:val="Introduction"/>
    <w:basedOn w:val="Normal"/>
    <w:next w:val="Normal"/>
    <w:qFormat/>
    <w:rsid w:val="004E134A"/>
    <w:pPr>
      <w:spacing w:after="240" w:line="300" w:lineRule="atLeast"/>
    </w:pPr>
    <w:rPr>
      <w:color w:val="3D7EDB" w:themeColor="accent1"/>
      <w:kern w:val="22"/>
      <w:sz w:val="22"/>
    </w:rPr>
  </w:style>
  <w:style w:type="paragraph" w:styleId="ListNumber4">
    <w:name w:val="List Number 4"/>
    <w:basedOn w:val="Normal"/>
    <w:semiHidden/>
    <w:rsid w:val="001369F7"/>
    <w:pPr>
      <w:numPr>
        <w:ilvl w:val="3"/>
        <w:numId w:val="14"/>
      </w:numPr>
    </w:pPr>
  </w:style>
  <w:style w:type="paragraph" w:customStyle="1" w:styleId="SectionHeading">
    <w:name w:val="Section Heading"/>
    <w:basedOn w:val="Header"/>
    <w:next w:val="Normal"/>
    <w:uiPriority w:val="2"/>
    <w:semiHidden/>
    <w:rsid w:val="00A826AE"/>
    <w:pPr>
      <w:framePr w:hSpace="181" w:wrap="around" w:vAnchor="page" w:hAnchor="page" w:y="6304"/>
      <w:pBdr>
        <w:bottom w:val="single" w:sz="4" w:space="25" w:color="FFFFFF" w:themeColor="background1"/>
      </w:pBdr>
      <w:spacing w:before="1060" w:line="440" w:lineRule="exact"/>
      <w:ind w:left="1134" w:right="454"/>
      <w:contextualSpacing/>
      <w:suppressOverlap/>
      <w:outlineLvl w:val="0"/>
    </w:pPr>
    <w:rPr>
      <w:color w:val="FFFFFF" w:themeColor="background1"/>
      <w:spacing w:val="10"/>
      <w:sz w:val="42"/>
    </w:rPr>
  </w:style>
  <w:style w:type="paragraph" w:styleId="ListNumber5">
    <w:name w:val="List Number 5"/>
    <w:basedOn w:val="Normal"/>
    <w:semiHidden/>
    <w:rsid w:val="001369F7"/>
    <w:pPr>
      <w:numPr>
        <w:ilvl w:val="4"/>
        <w:numId w:val="14"/>
      </w:numPr>
    </w:pPr>
  </w:style>
  <w:style w:type="paragraph" w:customStyle="1" w:styleId="AppendixHeading1">
    <w:name w:val="Appendix Heading 1"/>
    <w:basedOn w:val="Normal"/>
    <w:next w:val="Normal"/>
    <w:uiPriority w:val="2"/>
    <w:qFormat/>
    <w:rsid w:val="0060470A"/>
    <w:pPr>
      <w:keepNext/>
      <w:keepLines/>
      <w:pageBreakBefore/>
      <w:numPr>
        <w:numId w:val="9"/>
      </w:numPr>
      <w:spacing w:before="300" w:after="180" w:line="390" w:lineRule="atLeast"/>
      <w:outlineLvl w:val="0"/>
    </w:pPr>
    <w:rPr>
      <w:rFonts w:asciiTheme="majorHAnsi" w:hAnsiTheme="majorHAnsi" w:cs="Arial"/>
      <w:b/>
      <w:color w:val="3D7EDB" w:themeColor="accent1"/>
      <w:sz w:val="32"/>
    </w:rPr>
  </w:style>
  <w:style w:type="paragraph" w:customStyle="1" w:styleId="TableText">
    <w:name w:val="Table Text"/>
    <w:basedOn w:val="Normal"/>
    <w:semiHidden/>
    <w:qFormat/>
    <w:rsid w:val="0005578D"/>
  </w:style>
  <w:style w:type="character" w:styleId="PlaceholderText">
    <w:name w:val="Placeholder Text"/>
    <w:basedOn w:val="DefaultParagraphFont"/>
    <w:uiPriority w:val="59"/>
    <w:rsid w:val="0045185B"/>
    <w:rPr>
      <w:color w:val="808080"/>
    </w:rPr>
  </w:style>
  <w:style w:type="paragraph" w:customStyle="1" w:styleId="SectionHeadingAnchor">
    <w:name w:val="Section Heading Anchor"/>
    <w:basedOn w:val="Normal"/>
    <w:next w:val="SectionHeading"/>
    <w:uiPriority w:val="2"/>
    <w:semiHidden/>
    <w:rsid w:val="007F30EA"/>
    <w:pPr>
      <w:pageBreakBefore/>
      <w:spacing w:after="3120"/>
    </w:pPr>
  </w:style>
  <w:style w:type="paragraph" w:styleId="Caption">
    <w:name w:val="caption"/>
    <w:basedOn w:val="Normal"/>
    <w:next w:val="Normal"/>
    <w:uiPriority w:val="1"/>
    <w:semiHidden/>
    <w:qFormat/>
    <w:rsid w:val="008A2A6C"/>
    <w:pPr>
      <w:tabs>
        <w:tab w:val="left" w:pos="964"/>
      </w:tabs>
      <w:spacing w:line="230" w:lineRule="atLeast"/>
      <w:ind w:left="964" w:hanging="964"/>
    </w:pPr>
    <w:rPr>
      <w:rFonts w:asciiTheme="majorHAnsi" w:hAnsiTheme="majorHAnsi"/>
      <w:b/>
      <w:sz w:val="19"/>
    </w:rPr>
  </w:style>
  <w:style w:type="paragraph" w:styleId="NormalWeb">
    <w:name w:val="Normal (Web)"/>
    <w:basedOn w:val="Normal"/>
    <w:uiPriority w:val="1"/>
    <w:rsid w:val="005F5B06"/>
    <w:pPr>
      <w:spacing w:after="0"/>
    </w:pPr>
    <w:rPr>
      <w:szCs w:val="24"/>
    </w:rPr>
  </w:style>
  <w:style w:type="paragraph" w:customStyle="1" w:styleId="HeadingNumbered1">
    <w:name w:val="Heading Numbered 1"/>
    <w:basedOn w:val="Normal"/>
    <w:next w:val="Normal"/>
    <w:semiHidden/>
    <w:qFormat/>
    <w:rsid w:val="004D4894"/>
    <w:pPr>
      <w:keepNext/>
      <w:keepLines/>
      <w:numPr>
        <w:numId w:val="10"/>
      </w:numPr>
      <w:spacing w:after="60" w:line="310" w:lineRule="atLeast"/>
      <w:outlineLvl w:val="0"/>
    </w:pPr>
    <w:rPr>
      <w:rFonts w:asciiTheme="majorHAnsi" w:eastAsiaTheme="majorEastAsia" w:hAnsiTheme="majorHAnsi" w:cstheme="majorBidi"/>
      <w:b/>
      <w:bCs/>
      <w:color w:val="3D7EDB" w:themeColor="accent1"/>
      <w:sz w:val="27"/>
      <w:szCs w:val="26"/>
    </w:rPr>
  </w:style>
  <w:style w:type="paragraph" w:customStyle="1" w:styleId="HeadingNumbered2">
    <w:name w:val="Heading Numbered 2"/>
    <w:basedOn w:val="Heading3"/>
    <w:next w:val="Normal"/>
    <w:semiHidden/>
    <w:qFormat/>
    <w:rsid w:val="004D4894"/>
    <w:pPr>
      <w:numPr>
        <w:ilvl w:val="1"/>
        <w:numId w:val="10"/>
      </w:numPr>
      <w:spacing w:before="220" w:after="60" w:line="250" w:lineRule="atLeast"/>
      <w:outlineLvl w:val="1"/>
    </w:pPr>
    <w:rPr>
      <w:sz w:val="21"/>
    </w:rPr>
  </w:style>
  <w:style w:type="paragraph" w:customStyle="1" w:styleId="HeadingNumbered3">
    <w:name w:val="Heading Numbered 3"/>
    <w:basedOn w:val="Heading4"/>
    <w:next w:val="Normal"/>
    <w:semiHidden/>
    <w:qFormat/>
    <w:rsid w:val="004D4894"/>
    <w:pPr>
      <w:numPr>
        <w:ilvl w:val="2"/>
        <w:numId w:val="10"/>
      </w:numPr>
      <w:spacing w:after="70"/>
      <w:outlineLvl w:val="2"/>
    </w:pPr>
  </w:style>
  <w:style w:type="paragraph" w:styleId="TOC3">
    <w:name w:val="toc 3"/>
    <w:basedOn w:val="Normal"/>
    <w:next w:val="Normal"/>
    <w:autoRedefine/>
    <w:uiPriority w:val="39"/>
    <w:rsid w:val="002526A5"/>
    <w:pPr>
      <w:pBdr>
        <w:bottom w:val="single" w:sz="4" w:space="1" w:color="F5F9FD" w:themeColor="background2"/>
      </w:pBdr>
      <w:tabs>
        <w:tab w:val="right" w:pos="9639"/>
      </w:tabs>
      <w:spacing w:before="60" w:after="60"/>
    </w:pPr>
    <w:rPr>
      <w:noProof/>
      <w:color w:val="0F204B" w:themeColor="text2"/>
    </w:rPr>
  </w:style>
  <w:style w:type="paragraph" w:customStyle="1" w:styleId="TableHeading">
    <w:name w:val="Table Heading"/>
    <w:basedOn w:val="TableText"/>
    <w:semiHidden/>
    <w:qFormat/>
    <w:rsid w:val="0005578D"/>
    <w:rPr>
      <w:b/>
    </w:rPr>
  </w:style>
  <w:style w:type="paragraph" w:customStyle="1" w:styleId="HeaderwithLine">
    <w:name w:val="Header with Line"/>
    <w:basedOn w:val="Header"/>
    <w:next w:val="Header"/>
    <w:uiPriority w:val="99"/>
    <w:semiHidden/>
    <w:rsid w:val="005560C0"/>
    <w:pPr>
      <w:pBdr>
        <w:bottom w:val="single" w:sz="4" w:space="8" w:color="0079C1"/>
      </w:pBdr>
      <w:tabs>
        <w:tab w:val="clear" w:pos="2730"/>
        <w:tab w:val="left" w:pos="3583"/>
      </w:tabs>
    </w:p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HighlightBoxBullet">
    <w:name w:val="Highlight Box Bullet"/>
    <w:basedOn w:val="HighlightBoxText"/>
    <w:semiHidden/>
    <w:qFormat/>
    <w:rsid w:val="004621A2"/>
    <w:pPr>
      <w:numPr>
        <w:numId w:val="11"/>
      </w:numPr>
      <w:spacing w:before="60" w:after="60"/>
    </w:pPr>
  </w:style>
  <w:style w:type="paragraph" w:customStyle="1" w:styleId="HighlightBoxHeading">
    <w:name w:val="Highlight Box Heading"/>
    <w:basedOn w:val="HighlightBoxText"/>
    <w:next w:val="HighlightBoxText"/>
    <w:semiHidden/>
    <w:qFormat/>
    <w:rsid w:val="004621A2"/>
    <w:pPr>
      <w:keepNext/>
    </w:pPr>
    <w:rPr>
      <w:b/>
      <w:color w:val="auto"/>
      <w:szCs w:val="18"/>
    </w:rPr>
  </w:style>
  <w:style w:type="paragraph" w:customStyle="1" w:styleId="HighlightBoxNumbering">
    <w:name w:val="Highlight Box Numbering"/>
    <w:basedOn w:val="HighlightBoxText"/>
    <w:semiHidden/>
    <w:qFormat/>
    <w:rsid w:val="004621A2"/>
    <w:pPr>
      <w:numPr>
        <w:numId w:val="12"/>
      </w:numPr>
    </w:pPr>
  </w:style>
  <w:style w:type="paragraph" w:customStyle="1" w:styleId="HighlightBoxText">
    <w:name w:val="Highlight Box Text"/>
    <w:basedOn w:val="BodyText"/>
    <w:semiHidden/>
    <w:qFormat/>
    <w:rsid w:val="004621A2"/>
    <w:pPr>
      <w:pBdr>
        <w:top w:val="single" w:sz="4" w:space="10" w:color="B9C8F1" w:themeColor="text2" w:themeTint="33"/>
        <w:left w:val="single" w:sz="4" w:space="12" w:color="B9C8F1" w:themeColor="text2" w:themeTint="33"/>
        <w:bottom w:val="single" w:sz="4" w:space="10" w:color="B9C8F1" w:themeColor="text2" w:themeTint="33"/>
        <w:right w:val="single" w:sz="4" w:space="12" w:color="B9C8F1" w:themeColor="text2" w:themeTint="33"/>
      </w:pBdr>
      <w:shd w:val="clear" w:color="auto" w:fill="B9C8F1" w:themeFill="text2" w:themeFillTint="33"/>
      <w:tabs>
        <w:tab w:val="left" w:pos="2268"/>
        <w:tab w:val="left" w:pos="4536"/>
        <w:tab w:val="left" w:pos="6804"/>
        <w:tab w:val="right" w:pos="9638"/>
      </w:tabs>
      <w:spacing w:line="252" w:lineRule="auto"/>
      <w:ind w:left="227" w:right="227"/>
    </w:pPr>
    <w:rPr>
      <w:spacing w:val="2"/>
      <w:kern w:val="20"/>
      <w:lang w:eastAsia="fr-CA"/>
    </w:rPr>
  </w:style>
  <w:style w:type="character" w:customStyle="1" w:styleId="NoSpacingChar">
    <w:name w:val="No Spacing Char"/>
    <w:basedOn w:val="DefaultParagraphFont"/>
    <w:link w:val="NoSpacing"/>
    <w:rsid w:val="00146441"/>
  </w:style>
  <w:style w:type="paragraph" w:styleId="Title">
    <w:name w:val="Title"/>
    <w:basedOn w:val="Normal"/>
    <w:next w:val="Normal"/>
    <w:link w:val="TitleChar"/>
    <w:uiPriority w:val="99"/>
    <w:rsid w:val="006D47C6"/>
    <w:pPr>
      <w:spacing w:after="300" w:line="960" w:lineRule="exact"/>
      <w:contextualSpacing/>
    </w:pPr>
    <w:rPr>
      <w:rFonts w:ascii="DM Sans Medium" w:hAnsi="DM Sans Medium"/>
      <w:color w:val="3D7EDB" w:themeColor="accent1"/>
      <w:spacing w:val="-6"/>
      <w:sz w:val="86"/>
      <w:szCs w:val="18"/>
    </w:rPr>
  </w:style>
  <w:style w:type="character" w:customStyle="1" w:styleId="TitleChar">
    <w:name w:val="Title Char"/>
    <w:basedOn w:val="DefaultParagraphFont"/>
    <w:link w:val="Title"/>
    <w:uiPriority w:val="99"/>
    <w:rsid w:val="00146441"/>
    <w:rPr>
      <w:rFonts w:ascii="DM Sans Medium" w:hAnsi="DM Sans Medium"/>
      <w:color w:val="3D7EDB" w:themeColor="accent1"/>
      <w:spacing w:val="-6"/>
      <w:sz w:val="86"/>
      <w:szCs w:val="18"/>
    </w:rPr>
  </w:style>
  <w:style w:type="paragraph" w:customStyle="1" w:styleId="TitleWhite">
    <w:name w:val="Title White"/>
    <w:basedOn w:val="Title"/>
    <w:uiPriority w:val="99"/>
    <w:qFormat/>
    <w:rsid w:val="006D47C6"/>
    <w:rPr>
      <w:color w:val="FFFFFF" w:themeColor="background1"/>
    </w:rPr>
  </w:style>
  <w:style w:type="paragraph" w:styleId="Subtitle">
    <w:name w:val="Subtitle"/>
    <w:basedOn w:val="Normal"/>
    <w:next w:val="Normal"/>
    <w:link w:val="SubtitleChar"/>
    <w:uiPriority w:val="99"/>
    <w:rsid w:val="006D47C6"/>
    <w:pPr>
      <w:numPr>
        <w:ilvl w:val="1"/>
      </w:numPr>
      <w:spacing w:line="400" w:lineRule="exact"/>
      <w:contextualSpacing/>
    </w:pPr>
    <w:rPr>
      <w:rFonts w:eastAsiaTheme="minorEastAsia" w:cstheme="minorBidi"/>
      <w:b/>
      <w:caps/>
      <w:color w:val="3D7EDB" w:themeColor="accent1"/>
      <w:sz w:val="32"/>
      <w:szCs w:val="22"/>
    </w:rPr>
  </w:style>
  <w:style w:type="character" w:customStyle="1" w:styleId="SubtitleChar">
    <w:name w:val="Subtitle Char"/>
    <w:basedOn w:val="DefaultParagraphFont"/>
    <w:link w:val="Subtitle"/>
    <w:uiPriority w:val="99"/>
    <w:rsid w:val="00146441"/>
    <w:rPr>
      <w:rFonts w:eastAsiaTheme="minorEastAsia" w:cstheme="minorBidi"/>
      <w:b/>
      <w:caps/>
      <w:color w:val="3D7EDB" w:themeColor="accent1"/>
      <w:sz w:val="32"/>
      <w:szCs w:val="22"/>
    </w:rPr>
  </w:style>
  <w:style w:type="paragraph" w:styleId="Bibliography">
    <w:name w:val="Bibliography"/>
    <w:basedOn w:val="Normal"/>
    <w:next w:val="Normal"/>
    <w:uiPriority w:val="37"/>
    <w:semiHidden/>
    <w:unhideWhenUsed/>
    <w:rsid w:val="00B72CAA"/>
  </w:style>
  <w:style w:type="paragraph" w:customStyle="1" w:styleId="SubtitleWhite">
    <w:name w:val="Subtitle White"/>
    <w:basedOn w:val="Subtitle"/>
    <w:uiPriority w:val="99"/>
    <w:qFormat/>
    <w:rsid w:val="006D47C6"/>
    <w:rPr>
      <w:color w:val="FFFFFF" w:themeColor="background1"/>
    </w:rPr>
  </w:style>
  <w:style w:type="paragraph" w:customStyle="1" w:styleId="WebAddress">
    <w:name w:val="Web Address"/>
    <w:basedOn w:val="Normal"/>
    <w:uiPriority w:val="99"/>
    <w:qFormat/>
    <w:rsid w:val="006D47C6"/>
    <w:pPr>
      <w:spacing w:after="0" w:line="360" w:lineRule="exact"/>
      <w:ind w:right="-170"/>
      <w:jc w:val="right"/>
    </w:pPr>
    <w:rPr>
      <w:b/>
      <w:color w:val="3D7EDB" w:themeColor="accent1"/>
      <w:sz w:val="30"/>
      <w:szCs w:val="18"/>
    </w:rPr>
  </w:style>
  <w:style w:type="paragraph" w:customStyle="1" w:styleId="DateWhite">
    <w:name w:val="Date White"/>
    <w:basedOn w:val="Date"/>
    <w:uiPriority w:val="99"/>
    <w:qFormat/>
    <w:rsid w:val="00146441"/>
    <w:rPr>
      <w:color w:val="FFFFFF" w:themeColor="background1"/>
    </w:rPr>
  </w:style>
  <w:style w:type="paragraph" w:customStyle="1" w:styleId="WebAddressWhite">
    <w:name w:val="Web Address White"/>
    <w:basedOn w:val="WebAddress"/>
    <w:uiPriority w:val="99"/>
    <w:qFormat/>
    <w:rsid w:val="00146441"/>
    <w:rPr>
      <w:color w:val="FFFFFF" w:themeColor="background1"/>
    </w:rPr>
  </w:style>
  <w:style w:type="paragraph" w:customStyle="1" w:styleId="FooterPageNumber">
    <w:name w:val="Footer Page Number"/>
    <w:basedOn w:val="Footer"/>
    <w:uiPriority w:val="59"/>
    <w:qFormat/>
    <w:rsid w:val="007953C8"/>
    <w:pPr>
      <w:framePr w:wrap="around" w:vAnchor="text" w:hAnchor="margin" w:xAlign="right" w:y="1"/>
      <w:jc w:val="right"/>
    </w:pPr>
    <w:rPr>
      <w:noProof/>
    </w:rPr>
  </w:style>
  <w:style w:type="paragraph" w:customStyle="1" w:styleId="BackPageTextBoxTextWhite">
    <w:name w:val="Back Page Text Box Text White"/>
    <w:basedOn w:val="Normal"/>
    <w:uiPriority w:val="99"/>
    <w:qFormat/>
    <w:rsid w:val="007953C8"/>
    <w:pPr>
      <w:tabs>
        <w:tab w:val="left" w:pos="312"/>
      </w:tabs>
      <w:spacing w:after="0" w:line="320" w:lineRule="exact"/>
    </w:pPr>
    <w:rPr>
      <w:color w:val="FFFFFF" w:themeColor="background1"/>
      <w:sz w:val="24"/>
      <w:szCs w:val="18"/>
    </w:rPr>
  </w:style>
  <w:style w:type="paragraph" w:customStyle="1" w:styleId="DisclaimerText">
    <w:name w:val="Disclaimer Text"/>
    <w:basedOn w:val="Normal"/>
    <w:uiPriority w:val="99"/>
    <w:rsid w:val="0089506E"/>
    <w:pPr>
      <w:framePr w:w="9639" w:hSpace="181" w:wrap="around" w:hAnchor="margin" w:yAlign="bottom"/>
      <w:tabs>
        <w:tab w:val="left" w:pos="1134"/>
      </w:tabs>
      <w:spacing w:after="90" w:line="240" w:lineRule="atLeast"/>
      <w:suppressOverlap/>
    </w:pPr>
    <w:rPr>
      <w:rFonts w:eastAsia="Arial" w:cs="Arial"/>
    </w:rPr>
  </w:style>
  <w:style w:type="paragraph" w:styleId="TOC4">
    <w:name w:val="toc 4"/>
    <w:basedOn w:val="Normal"/>
    <w:next w:val="Normal"/>
    <w:autoRedefine/>
    <w:uiPriority w:val="39"/>
    <w:rsid w:val="0089506E"/>
    <w:pPr>
      <w:widowControl w:val="0"/>
      <w:spacing w:after="100" w:line="276" w:lineRule="auto"/>
      <w:ind w:left="660"/>
    </w:pPr>
    <w:rPr>
      <w:rFonts w:eastAsiaTheme="minorHAnsi" w:cstheme="minorBidi"/>
      <w:sz w:val="22"/>
      <w:szCs w:val="22"/>
      <w:lang w:val="en-US" w:eastAsia="en-US"/>
    </w:rPr>
  </w:style>
  <w:style w:type="paragraph" w:styleId="DocumentMap">
    <w:name w:val="Document Map"/>
    <w:basedOn w:val="Normal"/>
    <w:link w:val="DocumentMapChar"/>
    <w:uiPriority w:val="39"/>
    <w:semiHidden/>
    <w:unhideWhenUsed/>
    <w:rsid w:val="0089506E"/>
    <w:pPr>
      <w:spacing w:after="0"/>
    </w:pPr>
    <w:rPr>
      <w:rFonts w:ascii="Segoe UI" w:hAnsi="Segoe UI" w:cs="Segoe UI"/>
      <w:sz w:val="16"/>
      <w:szCs w:val="16"/>
    </w:rPr>
  </w:style>
  <w:style w:type="character" w:customStyle="1" w:styleId="DocumentMapChar">
    <w:name w:val="Document Map Char"/>
    <w:basedOn w:val="DefaultParagraphFont"/>
    <w:link w:val="DocumentMap"/>
    <w:uiPriority w:val="39"/>
    <w:semiHidden/>
    <w:rsid w:val="0089506E"/>
    <w:rPr>
      <w:rFonts w:ascii="Segoe UI" w:hAnsi="Segoe UI" w:cs="Segoe UI"/>
      <w:sz w:val="16"/>
      <w:szCs w:val="16"/>
    </w:rPr>
  </w:style>
  <w:style w:type="paragraph" w:customStyle="1" w:styleId="H1NoTOCEntry">
    <w:name w:val="H1 No TOC Entry"/>
    <w:basedOn w:val="Heading1NoNumbering"/>
    <w:next w:val="BodyText"/>
    <w:qFormat/>
    <w:rsid w:val="002526A5"/>
    <w:pPr>
      <w:tabs>
        <w:tab w:val="left" w:pos="680"/>
      </w:tabs>
    </w:pPr>
    <w:rPr>
      <w:rFonts w:eastAsia="MS ??"/>
    </w:rPr>
  </w:style>
  <w:style w:type="paragraph" w:customStyle="1" w:styleId="Boldheading">
    <w:name w:val="Bold heading"/>
    <w:basedOn w:val="Normal"/>
    <w:qFormat/>
    <w:rsid w:val="00FA5702"/>
    <w:pPr>
      <w:spacing w:after="0"/>
    </w:pPr>
    <w:rPr>
      <w:rFonts w:eastAsia="Arial"/>
      <w:b/>
    </w:rPr>
  </w:style>
  <w:style w:type="paragraph" w:customStyle="1" w:styleId="Questionheadline">
    <w:name w:val="Question headline"/>
    <w:basedOn w:val="Normal"/>
    <w:qFormat/>
    <w:rsid w:val="00744B7D"/>
    <w:rPr>
      <w:color w:val="3D7EDB" w:themeColor="accent1"/>
    </w:rPr>
  </w:style>
  <w:style w:type="paragraph" w:customStyle="1" w:styleId="Questionsubline">
    <w:name w:val="Question subline"/>
    <w:basedOn w:val="Normal"/>
    <w:qFormat/>
    <w:rsid w:val="00EB2D14"/>
  </w:style>
  <w:style w:type="table" w:customStyle="1" w:styleId="Style1">
    <w:name w:val="Style1"/>
    <w:basedOn w:val="TableNormal"/>
    <w:uiPriority w:val="99"/>
    <w:rsid w:val="00C154AA"/>
    <w:tblPr>
      <w:tblBorders>
        <w:bottom w:val="dotted" w:sz="4" w:space="0" w:color="3D7EDB" w:themeColor="accent1"/>
        <w:insideH w:val="dotted" w:sz="4" w:space="0" w:color="3D7EDB" w:themeColor="accent1"/>
      </w:tblBorders>
    </w:tblPr>
    <w:tblStylePr w:type="firstRow">
      <w:pPr>
        <w:wordWrap/>
        <w:spacing w:beforeLines="0" w:before="200" w:beforeAutospacing="0" w:afterLines="0" w:after="200" w:afterAutospacing="0"/>
      </w:pPr>
      <w:tblPr/>
      <w:tcPr>
        <w:tcBorders>
          <w:bottom w:val="single" w:sz="4" w:space="0" w:color="3D7EDB" w:themeColor="accent1"/>
        </w:tcBorders>
        <w:shd w:val="clear" w:color="auto" w:fill="F5F9FD" w:themeFill="background2"/>
      </w:tcPr>
    </w:tblStylePr>
  </w:style>
  <w:style w:type="table" w:customStyle="1" w:styleId="PHATableLight">
    <w:name w:val="PHA Table Light"/>
    <w:basedOn w:val="TableNormal"/>
    <w:uiPriority w:val="99"/>
    <w:rsid w:val="00744B7D"/>
    <w:pPr>
      <w:spacing w:before="86" w:after="86"/>
    </w:pPr>
    <w:tblPr>
      <w:tblBorders>
        <w:insideH w:val="single" w:sz="4" w:space="0" w:color="3D7EDB" w:themeColor="accent1"/>
      </w:tblBorders>
      <w:tblCellMar>
        <w:left w:w="102" w:type="dxa"/>
        <w:right w:w="102" w:type="dxa"/>
      </w:tblCellMar>
    </w:tblPr>
    <w:tcPr>
      <w:shd w:val="clear" w:color="auto" w:fill="FFFFFF" w:themeFill="background1"/>
      <w:vAlign w:val="center"/>
    </w:tcPr>
    <w:tblStylePr w:type="firstRow">
      <w:pPr>
        <w:wordWrap/>
        <w:spacing w:beforeLines="0" w:before="80" w:beforeAutospacing="0" w:afterLines="0" w:after="80" w:afterAutospacing="0"/>
        <w:jc w:val="left"/>
      </w:pPr>
      <w:rPr>
        <w:color w:val="3D7EDB" w:themeColor="accent1"/>
      </w:rPr>
      <w:tblPr/>
      <w:tcPr>
        <w:tcBorders>
          <w:top w:val="nil"/>
          <w:left w:val="nil"/>
          <w:bottom w:val="nil"/>
          <w:right w:val="nil"/>
          <w:insideH w:val="nil"/>
          <w:insideV w:val="nil"/>
          <w:tl2br w:val="nil"/>
          <w:tr2bl w:val="nil"/>
        </w:tcBorders>
        <w:shd w:val="clear" w:color="auto" w:fill="F5F9FD" w:themeFill="background2"/>
      </w:tcPr>
    </w:tblStylePr>
    <w:tblStylePr w:type="lastRow">
      <w:pPr>
        <w:jc w:val="left"/>
      </w:pPr>
      <w:tblPr/>
      <w:tcPr>
        <w:tcBorders>
          <w:top w:val="nil"/>
          <w:left w:val="nil"/>
          <w:bottom w:val="single" w:sz="4" w:space="0" w:color="3D7EDB" w:themeColor="accent1"/>
          <w:right w:val="nil"/>
          <w:insideH w:val="nil"/>
          <w:insideV w:val="nil"/>
          <w:tl2br w:val="nil"/>
          <w:tr2bl w:val="nil"/>
        </w:tcBorders>
        <w:vAlign w:val="bottom"/>
      </w:tcPr>
    </w:tblStylePr>
  </w:style>
  <w:style w:type="paragraph" w:customStyle="1" w:styleId="PullOut">
    <w:name w:val="Pull Out"/>
    <w:basedOn w:val="BodyText"/>
    <w:qFormat/>
    <w:rsid w:val="00746B8B"/>
    <w:pPr>
      <w:keepLines/>
      <w:pBdr>
        <w:top w:val="single" w:sz="4" w:space="10" w:color="F5F9FD" w:themeColor="background2"/>
        <w:left w:val="single" w:sz="4" w:space="10" w:color="F5F9FD" w:themeColor="background2"/>
        <w:bottom w:val="single" w:sz="4" w:space="10" w:color="F5F9FD" w:themeColor="background2"/>
        <w:right w:val="single" w:sz="4" w:space="10" w:color="F5F9FD" w:themeColor="background2"/>
      </w:pBdr>
      <w:shd w:val="clear" w:color="auto" w:fill="F5F9FD" w:themeFill="background2"/>
      <w:ind w:left="227" w:right="227"/>
    </w:pPr>
    <w:rPr>
      <w:rFonts w:eastAsia="Arial"/>
      <w:iCs/>
    </w:rPr>
  </w:style>
  <w:style w:type="paragraph" w:customStyle="1" w:styleId="ListBullet6ptAbove">
    <w:name w:val="List Bullet 6 pt Above"/>
    <w:basedOn w:val="ListBullet"/>
    <w:qFormat/>
    <w:rsid w:val="009A7ABE"/>
    <w:pPr>
      <w:spacing w:before="120"/>
    </w:pPr>
    <w:rPr>
      <w:rFonts w:eastAsia="Arial"/>
    </w:rPr>
  </w:style>
  <w:style w:type="paragraph" w:styleId="ListBullet4">
    <w:name w:val="List Bullet 4"/>
    <w:basedOn w:val="ListBullet3"/>
    <w:semiHidden/>
    <w:rsid w:val="0023632A"/>
    <w:pPr>
      <w:numPr>
        <w:ilvl w:val="0"/>
        <w:numId w:val="0"/>
      </w:numPr>
      <w:spacing w:before="70" w:after="200"/>
      <w:ind w:left="908" w:hanging="227"/>
    </w:pPr>
  </w:style>
  <w:style w:type="paragraph" w:styleId="ListBullet5">
    <w:name w:val="List Bullet 5"/>
    <w:basedOn w:val="ListBullet4"/>
    <w:semiHidden/>
    <w:rsid w:val="0023632A"/>
    <w:pPr>
      <w:ind w:left="1135"/>
    </w:pPr>
  </w:style>
  <w:style w:type="paragraph" w:styleId="ListParagraph">
    <w:name w:val="List Paragraph"/>
    <w:basedOn w:val="Normal"/>
    <w:uiPriority w:val="34"/>
    <w:qFormat/>
    <w:rsid w:val="00D04C65"/>
    <w:pPr>
      <w:widowControl w:val="0"/>
      <w:autoSpaceDE w:val="0"/>
      <w:autoSpaceDN w:val="0"/>
      <w:adjustRightInd w:val="0"/>
      <w:spacing w:after="40"/>
      <w:ind w:firstLine="357"/>
    </w:pPr>
    <w:rPr>
      <w:rFonts w:ascii="Calibri" w:eastAsia="MS ??" w:hAnsi="Calibri" w:cs="Arial"/>
      <w:sz w:val="22"/>
      <w:lang w:val="en-US" w:eastAsia="en-US"/>
    </w:rPr>
  </w:style>
  <w:style w:type="paragraph" w:styleId="TOC9">
    <w:name w:val="toc 9"/>
    <w:basedOn w:val="Normal"/>
    <w:next w:val="Normal"/>
    <w:autoRedefine/>
    <w:uiPriority w:val="39"/>
    <w:semiHidden/>
    <w:rsid w:val="00D04C65"/>
    <w:pPr>
      <w:spacing w:after="0"/>
    </w:pPr>
    <w:rPr>
      <w:rFonts w:ascii="Calibri" w:hAnsi="Calibri"/>
      <w:sz w:val="22"/>
      <w:szCs w:val="22"/>
    </w:rPr>
  </w:style>
  <w:style w:type="paragraph" w:customStyle="1" w:styleId="Heading1NoNumbering">
    <w:name w:val="Heading 1 No Numbering"/>
    <w:basedOn w:val="Heading1"/>
    <w:next w:val="BodyText"/>
    <w:qFormat/>
    <w:rsid w:val="00664BF5"/>
    <w:pPr>
      <w:numPr>
        <w:numId w:val="0"/>
      </w:numPr>
    </w:pPr>
  </w:style>
  <w:style w:type="paragraph" w:customStyle="1" w:styleId="Heading2NoNumbering">
    <w:name w:val="Heading 2 No Numbering"/>
    <w:basedOn w:val="Heading2"/>
    <w:next w:val="BodyText"/>
    <w:qFormat/>
    <w:rsid w:val="00131CE8"/>
    <w:pPr>
      <w:numPr>
        <w:ilvl w:val="0"/>
        <w:numId w:val="0"/>
      </w:numPr>
    </w:pPr>
    <w:rPr>
      <w:sz w:val="24"/>
    </w:rPr>
  </w:style>
  <w:style w:type="paragraph" w:customStyle="1" w:styleId="BodyTextwithHangingIndent">
    <w:name w:val="Body Text with Hanging Indent"/>
    <w:basedOn w:val="BodyText"/>
    <w:next w:val="BodyText"/>
    <w:qFormat/>
    <w:rsid w:val="00664BF5"/>
    <w:pPr>
      <w:tabs>
        <w:tab w:val="left" w:pos="340"/>
      </w:tabs>
      <w:ind w:left="340" w:hanging="340"/>
    </w:pPr>
    <w:rPr>
      <w:rFonts w:eastAsia="Calibri"/>
    </w:rPr>
  </w:style>
  <w:style w:type="paragraph" w:customStyle="1" w:styleId="H2NoTOCEntry">
    <w:name w:val="H2 No TOC Entry"/>
    <w:basedOn w:val="Heading2NoNumbering"/>
    <w:next w:val="BodyText"/>
    <w:qFormat/>
    <w:rsid w:val="002526A5"/>
  </w:style>
  <w:style w:type="paragraph" w:customStyle="1" w:styleId="H3NoTOCEntry">
    <w:name w:val="H3 No TOC Entry"/>
    <w:basedOn w:val="Normal"/>
    <w:next w:val="BodyText"/>
    <w:qFormat/>
    <w:rsid w:val="002526A5"/>
    <w:pPr>
      <w:keepNext/>
      <w:keepLines/>
      <w:spacing w:before="240" w:after="180" w:line="290" w:lineRule="atLeast"/>
      <w:outlineLvl w:val="2"/>
    </w:pPr>
    <w:rPr>
      <w:rFonts w:asciiTheme="majorHAnsi" w:eastAsiaTheme="majorEastAsia" w:hAnsiTheme="majorHAnsi" w:cstheme="majorBidi"/>
      <w:b/>
      <w:bCs/>
      <w:color w:val="3D7EDB" w:themeColor="accent1"/>
      <w:sz w:val="24"/>
    </w:rPr>
  </w:style>
  <w:style w:type="paragraph" w:customStyle="1" w:styleId="ListNumberinTable">
    <w:name w:val="List Number in Table"/>
    <w:basedOn w:val="Normal"/>
    <w:qFormat/>
    <w:rsid w:val="00236CC3"/>
    <w:pPr>
      <w:numPr>
        <w:numId w:val="20"/>
      </w:numPr>
      <w:spacing w:before="120" w:after="60"/>
    </w:pPr>
  </w:style>
  <w:style w:type="paragraph" w:customStyle="1" w:styleId="QuoteSmall">
    <w:name w:val="Quote Small"/>
    <w:basedOn w:val="ListContinue2"/>
    <w:qFormat/>
    <w:rsid w:val="003D2851"/>
    <w:pPr>
      <w:spacing w:before="160" w:after="160" w:line="220" w:lineRule="atLeast"/>
    </w:pPr>
    <w:rPr>
      <w:rFonts w:eastAsia="Calibri"/>
      <w:color w:val="000000"/>
      <w:sz w:val="18"/>
      <w:szCs w:val="18"/>
      <w14:textFill>
        <w14:solidFill>
          <w14:srgbClr w14:val="000000">
            <w14:lumMod w14:val="65000"/>
            <w14:lumOff w14:val="35000"/>
          </w14:srgbClr>
        </w14:solidFill>
      </w14:textFill>
    </w:rPr>
  </w:style>
  <w:style w:type="table" w:customStyle="1" w:styleId="PullOutTable">
    <w:name w:val="Pull Out Table"/>
    <w:basedOn w:val="TableNormal"/>
    <w:uiPriority w:val="99"/>
    <w:rsid w:val="009C0266"/>
    <w:pPr>
      <w:spacing w:before="0" w:after="0" w:line="240" w:lineRule="auto"/>
    </w:pPr>
    <w:tblPr>
      <w:tblBorders>
        <w:top w:val="single" w:sz="4" w:space="0" w:color="F5F9FD" w:themeColor="background2"/>
        <w:left w:val="single" w:sz="4" w:space="0" w:color="F5F9FD" w:themeColor="background2"/>
        <w:bottom w:val="single" w:sz="4" w:space="0" w:color="F5F9FD" w:themeColor="background2"/>
        <w:right w:val="single" w:sz="4" w:space="0" w:color="F5F9FD" w:themeColor="background2"/>
      </w:tblBorders>
      <w:tblCellMar>
        <w:top w:w="113" w:type="dxa"/>
        <w:left w:w="284" w:type="dxa"/>
        <w:bottom w:w="113" w:type="dxa"/>
        <w:right w:w="284" w:type="dxa"/>
      </w:tblCellMar>
    </w:tblPr>
    <w:tcPr>
      <w:shd w:val="clear" w:color="auto" w:fill="F5F9FD" w:themeFill="background2"/>
    </w:tcPr>
  </w:style>
  <w:style w:type="paragraph" w:customStyle="1" w:styleId="PullOutBoxNumber">
    <w:name w:val="Pull Out Box Number"/>
    <w:basedOn w:val="PullOut"/>
    <w:qFormat/>
    <w:rsid w:val="00113895"/>
    <w:pPr>
      <w:numPr>
        <w:ilvl w:val="3"/>
        <w:numId w:val="15"/>
      </w:numPr>
      <w:ind w:left="587"/>
    </w:pPr>
  </w:style>
  <w:style w:type="paragraph" w:customStyle="1" w:styleId="PullOutHeading">
    <w:name w:val="Pull Out Heading"/>
    <w:basedOn w:val="PullOut"/>
    <w:qFormat/>
    <w:rsid w:val="00113895"/>
    <w:rPr>
      <w:b/>
      <w:color w:val="3D7EDB"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30531042">
      <w:bodyDiv w:val="1"/>
      <w:marLeft w:val="0"/>
      <w:marRight w:val="0"/>
      <w:marTop w:val="0"/>
      <w:marBottom w:val="0"/>
      <w:divBdr>
        <w:top w:val="none" w:sz="0" w:space="0" w:color="auto"/>
        <w:left w:val="none" w:sz="0" w:space="0" w:color="auto"/>
        <w:bottom w:val="none" w:sz="0" w:space="0" w:color="auto"/>
        <w:right w:val="none" w:sz="0" w:space="0" w:color="auto"/>
      </w:divBdr>
    </w:div>
    <w:div w:id="599871259">
      <w:bodyDiv w:val="1"/>
      <w:marLeft w:val="0"/>
      <w:marRight w:val="0"/>
      <w:marTop w:val="0"/>
      <w:marBottom w:val="0"/>
      <w:divBdr>
        <w:top w:val="none" w:sz="0" w:space="0" w:color="auto"/>
        <w:left w:val="none" w:sz="0" w:space="0" w:color="auto"/>
        <w:bottom w:val="none" w:sz="0" w:space="0" w:color="auto"/>
        <w:right w:val="none" w:sz="0" w:space="0" w:color="auto"/>
      </w:divBdr>
      <w:divsChild>
        <w:div w:id="870915449">
          <w:marLeft w:val="0"/>
          <w:marRight w:val="0"/>
          <w:marTop w:val="0"/>
          <w:marBottom w:val="225"/>
          <w:divBdr>
            <w:top w:val="none" w:sz="0" w:space="0" w:color="auto"/>
            <w:left w:val="none" w:sz="0" w:space="0" w:color="auto"/>
            <w:bottom w:val="none" w:sz="0" w:space="0" w:color="auto"/>
            <w:right w:val="none" w:sz="0" w:space="0" w:color="auto"/>
          </w:divBdr>
          <w:divsChild>
            <w:div w:id="243343474">
              <w:marLeft w:val="0"/>
              <w:marRight w:val="0"/>
              <w:marTop w:val="75"/>
              <w:marBottom w:val="0"/>
              <w:divBdr>
                <w:top w:val="none" w:sz="0" w:space="0" w:color="auto"/>
                <w:left w:val="none" w:sz="0" w:space="0" w:color="auto"/>
                <w:bottom w:val="none" w:sz="0" w:space="0" w:color="auto"/>
                <w:right w:val="none" w:sz="0" w:space="0" w:color="auto"/>
              </w:divBdr>
            </w:div>
          </w:divsChild>
        </w:div>
        <w:div w:id="1956018145">
          <w:marLeft w:val="0"/>
          <w:marRight w:val="0"/>
          <w:marTop w:val="0"/>
          <w:marBottom w:val="0"/>
          <w:divBdr>
            <w:top w:val="none" w:sz="0" w:space="0" w:color="auto"/>
            <w:left w:val="none" w:sz="0" w:space="0" w:color="auto"/>
            <w:bottom w:val="none" w:sz="0" w:space="0" w:color="auto"/>
            <w:right w:val="none" w:sz="0" w:space="0" w:color="auto"/>
          </w:divBdr>
          <w:divsChild>
            <w:div w:id="26836423">
              <w:marLeft w:val="0"/>
              <w:marRight w:val="0"/>
              <w:marTop w:val="0"/>
              <w:marBottom w:val="0"/>
              <w:divBdr>
                <w:top w:val="none" w:sz="0" w:space="0" w:color="auto"/>
                <w:left w:val="none" w:sz="0" w:space="0" w:color="auto"/>
                <w:bottom w:val="none" w:sz="0" w:space="0" w:color="auto"/>
                <w:right w:val="none" w:sz="0" w:space="0" w:color="auto"/>
              </w:divBdr>
              <w:divsChild>
                <w:div w:id="11801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5576">
      <w:bodyDiv w:val="1"/>
      <w:marLeft w:val="0"/>
      <w:marRight w:val="0"/>
      <w:marTop w:val="0"/>
      <w:marBottom w:val="0"/>
      <w:divBdr>
        <w:top w:val="none" w:sz="0" w:space="0" w:color="auto"/>
        <w:left w:val="none" w:sz="0" w:space="0" w:color="auto"/>
        <w:bottom w:val="none" w:sz="0" w:space="0" w:color="auto"/>
        <w:right w:val="none" w:sz="0" w:space="0" w:color="auto"/>
      </w:divBdr>
      <w:divsChild>
        <w:div w:id="939721307">
          <w:marLeft w:val="0"/>
          <w:marRight w:val="0"/>
          <w:marTop w:val="0"/>
          <w:marBottom w:val="225"/>
          <w:divBdr>
            <w:top w:val="none" w:sz="0" w:space="0" w:color="auto"/>
            <w:left w:val="none" w:sz="0" w:space="0" w:color="auto"/>
            <w:bottom w:val="none" w:sz="0" w:space="0" w:color="auto"/>
            <w:right w:val="none" w:sz="0" w:space="0" w:color="auto"/>
          </w:divBdr>
          <w:divsChild>
            <w:div w:id="177428654">
              <w:marLeft w:val="0"/>
              <w:marRight w:val="0"/>
              <w:marTop w:val="75"/>
              <w:marBottom w:val="0"/>
              <w:divBdr>
                <w:top w:val="none" w:sz="0" w:space="0" w:color="auto"/>
                <w:left w:val="none" w:sz="0" w:space="0" w:color="auto"/>
                <w:bottom w:val="none" w:sz="0" w:space="0" w:color="auto"/>
                <w:right w:val="none" w:sz="0" w:space="0" w:color="auto"/>
              </w:divBdr>
            </w:div>
          </w:divsChild>
        </w:div>
        <w:div w:id="988746865">
          <w:marLeft w:val="0"/>
          <w:marRight w:val="0"/>
          <w:marTop w:val="0"/>
          <w:marBottom w:val="0"/>
          <w:divBdr>
            <w:top w:val="none" w:sz="0" w:space="0" w:color="auto"/>
            <w:left w:val="none" w:sz="0" w:space="0" w:color="auto"/>
            <w:bottom w:val="none" w:sz="0" w:space="0" w:color="auto"/>
            <w:right w:val="none" w:sz="0" w:space="0" w:color="auto"/>
          </w:divBdr>
          <w:divsChild>
            <w:div w:id="1947039640">
              <w:marLeft w:val="0"/>
              <w:marRight w:val="0"/>
              <w:marTop w:val="0"/>
              <w:marBottom w:val="0"/>
              <w:divBdr>
                <w:top w:val="none" w:sz="0" w:space="0" w:color="auto"/>
                <w:left w:val="none" w:sz="0" w:space="0" w:color="auto"/>
                <w:bottom w:val="none" w:sz="0" w:space="0" w:color="auto"/>
                <w:right w:val="none" w:sz="0" w:space="0" w:color="auto"/>
              </w:divBdr>
              <w:divsChild>
                <w:div w:id="18031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739565">
      <w:bodyDiv w:val="1"/>
      <w:marLeft w:val="0"/>
      <w:marRight w:val="0"/>
      <w:marTop w:val="0"/>
      <w:marBottom w:val="0"/>
      <w:divBdr>
        <w:top w:val="none" w:sz="0" w:space="0" w:color="auto"/>
        <w:left w:val="none" w:sz="0" w:space="0" w:color="auto"/>
        <w:bottom w:val="none" w:sz="0" w:space="0" w:color="auto"/>
        <w:right w:val="none" w:sz="0" w:space="0" w:color="auto"/>
      </w:divBdr>
    </w:div>
    <w:div w:id="1841459782">
      <w:bodyDiv w:val="1"/>
      <w:marLeft w:val="0"/>
      <w:marRight w:val="0"/>
      <w:marTop w:val="0"/>
      <w:marBottom w:val="0"/>
      <w:divBdr>
        <w:top w:val="none" w:sz="0" w:space="0" w:color="auto"/>
        <w:left w:val="none" w:sz="0" w:space="0" w:color="auto"/>
        <w:bottom w:val="none" w:sz="0" w:space="0" w:color="auto"/>
        <w:right w:val="none" w:sz="0" w:space="0" w:color="auto"/>
      </w:divBdr>
    </w:div>
    <w:div w:id="1990089114">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www.philanthropy.org.au/about-us/publications/making-giving-easy-charitable-superannuation-bequests/" TargetMode="External"/><Relationship Id="rId26" Type="http://schemas.openxmlformats.org/officeDocument/2006/relationships/hyperlink" Target="http://www.philanthropy.org.au" TargetMode="External"/><Relationship Id="rId3" Type="http://schemas.openxmlformats.org/officeDocument/2006/relationships/customXml" Target="../customXml/item3.xml"/><Relationship Id="rId21" Type="http://schemas.openxmlformats.org/officeDocument/2006/relationships/hyperlink" Target="https://www.philanthropy.org.au/about-us/publications/the-opportunity-to-grow-australias-community-foundation-network-a-strategic-roadmap/"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philanthropy.org.au/about-us/publications/a-strategy-to-double-givingby-2030/"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ledge1percent.or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hilanthropy.org.au"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philanthropy.org.au/about-us/publications/philanthropy-australia-supplementary-submission-is-there-a-role-for-government-in-supporting-a-national-giving-campaign/"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socialventures.com.au/work/paying-what-it-takes-report/" TargetMode="External"/><Relationship Id="rId27" Type="http://schemas.openxmlformats.org/officeDocument/2006/relationships/image" Target="media/image6.png"/><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phrp.com.au/issues/march-2022-volume-32-issue-1/skin-cancer-prevention-a-call-to-action/" TargetMode="External"/><Relationship Id="rId2" Type="http://schemas.openxmlformats.org/officeDocument/2006/relationships/hyperlink" Target="https://www.hrblock.com.au/tax-academy/bigger-tax-refund" TargetMode="External"/><Relationship Id="rId1" Type="http://schemas.openxmlformats.org/officeDocument/2006/relationships/hyperlink" Target="https://www.gov.uk/government/publications/applying-behavioural-insights-to-charitable-giving" TargetMode="External"/><Relationship Id="rId5" Type="http://schemas.openxmlformats.org/officeDocument/2006/relationships/hyperlink" Target="https://www.philanthropy.org.au/about-us/publications/philanthropy-australia-community-case-december-2022/" TargetMode="External"/><Relationship Id="rId4" Type="http://schemas.openxmlformats.org/officeDocument/2006/relationships/hyperlink" Target="https://www.aihw.gov.au/reports/australias-health/health-promo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OneDrive%20-%20Custom%20Templates\Custom%20Templates\Clients\Celsius%20Design\PHA\PHA%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763003C494460F849F8F90C7AB4507"/>
        <w:category>
          <w:name w:val="General"/>
          <w:gallery w:val="placeholder"/>
        </w:category>
        <w:types>
          <w:type w:val="bbPlcHdr"/>
        </w:types>
        <w:behaviors>
          <w:behavior w:val="content"/>
        </w:behaviors>
        <w:guid w:val="{5D71C9BF-344B-4DE8-ACA5-489D96C8F34C}"/>
      </w:docPartPr>
      <w:docPartBody>
        <w:p w:rsidR="004233C6" w:rsidRDefault="00967B10" w:rsidP="00967B10">
          <w:pPr>
            <w:pStyle w:val="7D763003C494460F849F8F90C7AB4507"/>
          </w:pPr>
          <w:r w:rsidRPr="006D47C6">
            <w:t>[Document subtitle]</w:t>
          </w:r>
        </w:p>
      </w:docPartBody>
    </w:docPart>
    <w:docPart>
      <w:docPartPr>
        <w:name w:val="DDD75EEBFC4149079A1D0E6450E0EC0F"/>
        <w:category>
          <w:name w:val="General"/>
          <w:gallery w:val="placeholder"/>
        </w:category>
        <w:types>
          <w:type w:val="bbPlcHdr"/>
        </w:types>
        <w:behaviors>
          <w:behavior w:val="content"/>
        </w:behaviors>
        <w:guid w:val="{1A888813-45C8-4503-8C9A-40DBBC0C0703}"/>
      </w:docPartPr>
      <w:docPartBody>
        <w:p w:rsidR="004233C6" w:rsidRDefault="00967B10" w:rsidP="00967B10">
          <w:pPr>
            <w:pStyle w:val="DDD75EEBFC4149079A1D0E6450E0EC0F"/>
          </w:pPr>
          <w:r w:rsidRPr="006D47C6">
            <w:t>Day Month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M Sans">
    <w:panose1 w:val="00000000000000000000"/>
    <w:charset w:val="00"/>
    <w:family w:val="auto"/>
    <w:pitch w:val="variable"/>
    <w:sig w:usb0="8000002F" w:usb1="5000205B" w:usb2="00000000" w:usb3="00000000" w:csb0="00000093"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M Sans Medium">
    <w:panose1 w:val="00000000000000000000"/>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10"/>
    <w:rsid w:val="0003628E"/>
    <w:rsid w:val="00087FC6"/>
    <w:rsid w:val="003D0C3A"/>
    <w:rsid w:val="004233C6"/>
    <w:rsid w:val="00437D06"/>
    <w:rsid w:val="006C61FA"/>
    <w:rsid w:val="007E7596"/>
    <w:rsid w:val="0087000A"/>
    <w:rsid w:val="008D6548"/>
    <w:rsid w:val="00924426"/>
    <w:rsid w:val="00967B10"/>
    <w:rsid w:val="00986A89"/>
    <w:rsid w:val="00991AC6"/>
    <w:rsid w:val="00A15425"/>
    <w:rsid w:val="00A42C1A"/>
    <w:rsid w:val="00A54A7D"/>
    <w:rsid w:val="00AC3A2C"/>
    <w:rsid w:val="00AD6566"/>
    <w:rsid w:val="00B56A63"/>
    <w:rsid w:val="00CB0CE5"/>
    <w:rsid w:val="00D85B71"/>
    <w:rsid w:val="00D92A6E"/>
    <w:rsid w:val="00F03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763003C494460F849F8F90C7AB4507">
    <w:name w:val="7D763003C494460F849F8F90C7AB4507"/>
    <w:rsid w:val="00967B10"/>
  </w:style>
  <w:style w:type="paragraph" w:customStyle="1" w:styleId="DDD75EEBFC4149079A1D0E6450E0EC0F">
    <w:name w:val="DDD75EEBFC4149079A1D0E6450E0EC0F"/>
    <w:rsid w:val="00967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hilanthropy Australia">
      <a:dk1>
        <a:sysClr val="windowText" lastClr="000000"/>
      </a:dk1>
      <a:lt1>
        <a:sysClr val="window" lastClr="FFFFFF"/>
      </a:lt1>
      <a:dk2>
        <a:srgbClr val="0F204B"/>
      </a:dk2>
      <a:lt2>
        <a:srgbClr val="F5F9FD"/>
      </a:lt2>
      <a:accent1>
        <a:srgbClr val="3D7EDB"/>
      </a:accent1>
      <a:accent2>
        <a:srgbClr val="74D1EA"/>
      </a:accent2>
      <a:accent3>
        <a:srgbClr val="7FD5C5"/>
      </a:accent3>
      <a:accent4>
        <a:srgbClr val="FBD476"/>
      </a:accent4>
      <a:accent5>
        <a:srgbClr val="EBA089"/>
      </a:accent5>
      <a:accent6>
        <a:srgbClr val="0F204B"/>
      </a:accent6>
      <a:hlink>
        <a:srgbClr val="3D7EDB"/>
      </a:hlink>
      <a:folHlink>
        <a:srgbClr val="954F72"/>
      </a:folHlink>
    </a:clrScheme>
    <a:fontScheme name="Philanthropy Australia">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2023-12-19T00:00:00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aa95800-ea0b-4eb2-b0cf-d129ecea3212" xsi:nil="true"/>
    <lcf76f155ced4ddcb4097134ff3c332f xmlns="ef52d41c-233d-4250-a5ee-cd50c456902e">
      <Terms xmlns="http://schemas.microsoft.com/office/infopath/2007/PartnerControls"/>
    </lcf76f155ced4ddcb4097134ff3c332f>
    <SharedWithUsers xmlns="5aa95800-ea0b-4eb2-b0cf-d129ecea3212">
      <UserInfo>
        <DisplayName>Fiona Durante</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01DF66DC4A08B4CBBA26D149ABD23DB" ma:contentTypeVersion="17" ma:contentTypeDescription="Create a new document." ma:contentTypeScope="" ma:versionID="78cd42cf0b5b08d07062f29ae833d1f8">
  <xsd:schema xmlns:xsd="http://www.w3.org/2001/XMLSchema" xmlns:xs="http://www.w3.org/2001/XMLSchema" xmlns:p="http://schemas.microsoft.com/office/2006/metadata/properties" xmlns:ns2="ef52d41c-233d-4250-a5ee-cd50c456902e" xmlns:ns3="5aa95800-ea0b-4eb2-b0cf-d129ecea3212" targetNamespace="http://schemas.microsoft.com/office/2006/metadata/properties" ma:root="true" ma:fieldsID="67ba5488e94cb87e7b698a43f0f8ae18" ns2:_="" ns3:_="">
    <xsd:import namespace="ef52d41c-233d-4250-a5ee-cd50c456902e"/>
    <xsd:import namespace="5aa95800-ea0b-4eb2-b0cf-d129ecea32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2d41c-233d-4250-a5ee-cd50c4569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ceb851-9305-4454-9056-eaaf791f981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a95800-ea0b-4eb2-b0cf-d129ecea32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261cca-35f8-477d-8ada-5e48e3fa5019}" ma:internalName="TaxCatchAll" ma:showField="CatchAllData" ma:web="5aa95800-ea0b-4eb2-b0cf-d129ecea321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E8AAE8-B727-4F48-A290-9EB519FB1B26}">
  <ds:schemaRefs>
    <ds:schemaRef ds:uri="http://schemas.microsoft.com/office/2006/metadata/properties"/>
    <ds:schemaRef ds:uri="http://schemas.microsoft.com/office/infopath/2007/PartnerControls"/>
    <ds:schemaRef ds:uri="5aa95800-ea0b-4eb2-b0cf-d129ecea3212"/>
    <ds:schemaRef ds:uri="ef52d41c-233d-4250-a5ee-cd50c456902e"/>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1B5795E9-077E-4558-9297-536ACA4D158E}">
  <ds:schemaRefs>
    <ds:schemaRef ds:uri="http://schemas.microsoft.com/sharepoint/v3/contenttype/forms"/>
  </ds:schemaRefs>
</ds:datastoreItem>
</file>

<file path=customXml/itemProps5.xml><?xml version="1.0" encoding="utf-8"?>
<ds:datastoreItem xmlns:ds="http://schemas.openxmlformats.org/officeDocument/2006/customXml" ds:itemID="{A8695DBD-069F-4326-81F3-B0117F9E3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2d41c-233d-4250-a5ee-cd50c456902e"/>
    <ds:schemaRef ds:uri="5aa95800-ea0b-4eb2-b0cf-d129ecea3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PHA Report Template</Template>
  <TotalTime>0</TotalTime>
  <Pages>17</Pages>
  <Words>6804</Words>
  <Characters>38591</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Philanthropy Australia Submission to the Charity Blueprint process</vt:lpstr>
    </vt:vector>
  </TitlesOfParts>
  <Company/>
  <LinksUpToDate>false</LinksUpToDate>
  <CharactersWithSpaces>45305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Philanthropy Australia Submission to the Charity Blueprint process</dc:title>
  <dc:subject>FINAL</dc:subject>
  <dc:creator>Fiona</dc:creator>
  <cp:keywords/>
  <dc:description/>
  <cp:lastModifiedBy>Sophie Marcard</cp:lastModifiedBy>
  <cp:revision>2</cp:revision>
  <cp:lastPrinted>2023-05-05T07:10:00Z</cp:lastPrinted>
  <dcterms:created xsi:type="dcterms:W3CDTF">2023-12-18T21:25:00Z</dcterms:created>
  <dcterms:modified xsi:type="dcterms:W3CDTF">2023-12-18T21:25:00Z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0x010100901DF66DC4A08B4CBBA26D149ABD23DB</vt:lpwstr>
  </property>
  <property fmtid="{D5CDD505-2E9C-101B-9397-08002B2CF9AE}" pid="3" name="MediaServiceImageTags">
    <vt:lpwstr/>
  </property>
</Properties>
</file>